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16/02/1981</w:t>
      </w:r>
    </w:p>
    <w:p/>
    <w:p>
      <w:r>
        <w:t xml:space="preserve">PROMITENTE COMPRADORA — SE É EXIGÍVEL A OUTORGA MARITAL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presente feito, que versa sobre a rescisão de promessa de compra e venda de imóvel, discutiu-se sobre se é causa de nulidade da promessa a falta de assinatura do marido da promitente compradora que, no caso, era com ela casado pelo regime da separação de bens. O marido foi citado como réu e contestou, alegando não ter interesse de bens de seu casamento e de haver sua ex-esposa se proposto a efetuar a compra em seu nome exclusivo e com recursos próprios - ... - . - Ocorre que, Juízo de Família e em data anterior à da propositura da ação de rescisão, a promitente compradora, ora apelante, requerera outorga judicial do consentimento do marido para que pudesse fazer cessão da promessa. O marido contestou e reconveio para dizer que havia pago com seus recursos o sinal e várias prestações do imóvel comprometido à apelante, fazendo jus à restituição das importâncias respectivas, no caso de cessão. A sentença, no pedido de suprimento, repeliu a reconvenção. Houve recurso, porém, e este veio a ser provido em data ulterior à da sentença que decretou a rescisão da promessa por falta de purgação de mora das prestações em atraso, pela Eg. 4ª Câmara Cível para o efeito de assegurar ao reconvinte, ex-marido da ora apelante, o direito à restituição do que pagou no ato da escritura de cessão. - É claro que tal decisão não pode fazer coisa julgada em relação à rescisão do contrato de promessa por inadimplemento; rescindido o contrato, não poderá haver cessão alguma, nem, conseqüentemente, participação do marido da apelante. Mas o reconhecimento de seu eventual direito não pode ter efeito algum sobre a rescisão decretada e ora confirmada, na qual a única parte vencida é a apelante, na sua condição de exclusiva prom itente compradora. - Daí o não poder ser acolhido a alegação de coisa julgada, absolutamente inexistente, impondo-se, ao contrário, o desprovimento da apelação. Julgado em 17-02-1981 Arquivo do Ementário Forense, TJ/950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casada pode firmar promessa de compra e venda, sem assistência do marido, quando figura como promitente compradora, não acarretando nulidade a falta da desnecessária outorga marital.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2026-07-28T06:52:36.016Z</dcterms:created>
  <dcterms:modified xsi:type="dcterms:W3CDTF">2026-07-28T06:52:36.016Z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