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05/11/1980</w:t>
      </w:r>
    </w:p>
    <w:p/>
    <w:p>
      <w:r>
        <w:t xml:space="preserve">OBRA DE CONTENÇÃO EM TERRENO DE PARTICULAR — QUANDO INCUMBE AO MUNICÍPIO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pretensão do Município do Rio de Janeiro, como sucessor da extinta SURSAN, de ressarcir-se do que dispendeu em obras de contenção de encostas que se inserem nos imóveis 145 a 173 na Rua Aprazível, em Santa Tereza. A ação se iniciou como cominatória visando a SURSAN substituir-se aos particulares na realização da obra urgente na defesa da incolumidade pública. No seu curso veio a transformar-se em ação de cobrança, sustentando o Município que aos donos do terreno incumbe a obra. As contestações são no sentido de que se trata de obra pública, que extrapola a possibilidade dos proprietários, que também não foram chamados a fazê-la nem a verificar a urgência e necessidade. A par de que constituindo terrenos de sesmarias municipais foram divididos e loteados pelo próprio Município, que fixou-lhes a destinação residencial e não lhes deu a garantia de incolumidade que a geologia dos terrenos impunha. Não há lei que imponha o endividamento dos proprietários que supera o próprio valor dos prédios, daí o pedido de improcedência da ação. - ................................................................................................................................ - A sentença, com lastro na Lei 1.574, de 1967(*), fixou a responsabilidade dos RR pelo reembolso pedido e se acostou em acórdão desta Câmara que citou; negou a correção monetária. Apelaram todas as partes. Os RR visando a improcedência da ação ratifican do as teses de suas contestações e procurando demonstrar que o julgado desta Câmara não socorre ao Município, mas a eles RR. O Município insiste na correção monetária.. DO VOTO - A Câmara não repudia, antes ratifica as teses que enunciou e adotou no acórdão que se vê reproduzindo às fls. Ocorre que a perícia pela abalizada opinião técnica do Dr. ASSENTINO PEREIRA, demonstrou que: ''Os indícios são de que a situação ora verificada é secular; anterior à abertura da rua e às construções locais. E não se verifica fato algum imputável aos réus desta ação, que agravasse os riscos ora considerados''... - Daí resulta, no exato raciocínio do acórdão invocado na sentença, que ao Município como proprietário da Sesmaria Municipal, que dividiu, arruou, loteou, deu-lhe destinação residencial e concedeu em aforamento o domínio útil, aos antecessores dos RR, desses lotes, não lhes transferiu os ônus inerentes aos riscos que a geologia das encostas representavam para a incolumidade pública e dos próprios réus e as benfeitorias que ali erigiram, com a aprovação do município. Assim, realmente é pelo princípio de que o risco da cousa pública cabe ao estado afastá-lo ou assumí-lo e não se transfere ao particular, senão na parcela com que este concorra para que ele se agrave ou se deflagre. Não é a hipótese dos autos pericialmente assentado. Aqui loteador da cousa perigosa foi o próprio Município, como no acórdão de fls., foi o particular. Como estado pessoa de direito público, o Município tem o dever primeiro de garantir a incolumidade pública, parta de onde partir o perigo ou o risco esperado. Pode transferir ao particular os ônus do afastamento do perigo, se fosse ele o criador do risco ou quem o agravou, ou concorreu para que deflagrasse. Absorve, todavia, os ônus financeiros do afastamento do perigo se não pode responsabilizar o particular por ele, se lhe cabe a iniciativa da própria criação do perigo ao dar destinação residencial à encosta, que era do seu domínio pleno, ao aforar ao particular o domínio útil da sesmaria sem prover à remoção do risco decorrente da própria cousa aforada, que é secular e preexiste à propriedade particular provada. - Nessa linha de raciocínio reforma-se a sentença para julgar improcedente a ação... Julgado em 06-11-1980 Arquivo do Ementário Forense, TJ/953 (*) Código de Obras do Município do Rio de Janeiro. EMFOR 393 EMENTA: - A duplicata não aceita, deve, para ter força executiva, reunir os requisitos a que se refere a parte final do "caput" do art. 15 da Lei nº 5.474, de 18-07-1968, alterada pelo Decreto-lei nº 436/69 (RTJ 77/345). Não a tem, entretanto, se lhe falta o protesto. RESUMO DO ACÓRDÃO: - São títulos executivos extrajudiciais, nos termos do inciso VII do art. 585 do Código de Processo Civil, ''todos os demais títulos a que, por disposição expressa, a lei atribui força executiva''. No aplicar esse preceito legal, tem o Supremo Tribunal entendido que é título executivo extrajudicial ''a duplicata não aceita que preencha os requisitos a que alude a parte final, ''ca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pelas obras que a natureza ou conformação do terreno exigirem para garantia da incolumidade pública, recai sobre quem lhes deu a destinação residencial que tem. O Município loteando, arruando e aforando ao particular suas sesmarias em encosta, não pode transferir ao foreiro a responsabilidade pela adequação do terreno à finalidade que lhe deu o próprio Município e os ônus de garantir a incolumidade pública e a dos próprios prédios foreiros.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2026-07-28T01:58:41.743Z</dcterms:created>
  <dcterms:modified xsi:type="dcterms:W3CDTF">2026-07-28T01:58:41.743Z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