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AUXÍLIO ENFERMIDADE</w:t>
      </w:r>
    </w:p>
    <w:p>
      <w:r>
        <w:rPr>
          <w:i/>
          <w:iCs/>
          <w:color w:val="666666"/>
        </w:rPr>
        <w:t xml:space="preserve">RESCISÃO DO CONTRATO DE TRABALHO</w:t>
      </w:r>
    </w:p>
    <w:p/>
    <w:p>
      <w:r>
        <w:rPr>
          <w:b/>
          <w:bCs/>
        </w:rPr>
        <w:t xml:space="preserve">Julgado em: </w:t>
      </w:r>
      <w:r>
        <w:t xml:space="preserve">04/12/1978</w:t>
      </w:r>
    </w:p>
    <w:p/>
    <w:p>
      <w:r>
        <w:t xml:space="preserve">OFENSA A LITERAL DISPOSIÇÃO DE LEI — TEXTO DE INTERPRETAÇÃO CONTROVERTIDA - INADMISSIBILIDADE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DO RELATÓRIO - Trata-se de ação rescisória, com fundamento no art. 485, V, do Código de Processo Civil, movida pela Caixa Econômica do Estado de São Paulo S.A., contra a Prefeitura Municipal de Arthur Nogueira, tendo por objeto venerando acórdão da egrégia Segunda Câmara do Tribunal de Alçada de São Paulo, que invalidou a taxa remuneratória estipulada do contrato de mútuo. Sustenta nada impedir a cobrança da referida multa, em face da Lei nº 4.595. de 1964, vez que ela pertence ao Sistema Financeiro Nacional e, assim, não sofre as restrições da lei de usura. - A ação foi julgada improcedente. - Irresignada, a vencida interpôs recurso extraordinário, com fundamento nas letras "a" e "d" do permissivo constitucional, sustentando haver o acórdão recorrido negado vigência a Lei Federal nº 4.595/64, além de dissídio jurisprudencial. - A Procuradoria-Geral da República manifesta-se pelo não conhecimento do recurso. - É o relatório. DO VOTO - Ao tempo da decisão rescindenda, controvertida era a interpretação do dispositivo aplicado, não se configurando, portanto, violação a literal dispositivo de lei para justificar sua rescisão, nos termos do art. 485, V, do Código de Processo Civil. - Neste sentido, aliás, é a já pacifica jurisprudência deste colendo Supremo Tribunal (RREE. ns. 89.824 e 89.833). - Por estes motivos, não conheço do recurso. Julgado em 05-12-1978 Revista Trimestral de Jurisprudência, Março, 1980 - Vol. 91 - Pág. 970 (*) "Não cabe ação rescisória por ofensa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se caracteriza a violação a literal dispositivo de lei (art. 485, V, do Código de Processo Civil) se, ao tempo em que foi proferida a decisão rescindenda, era controvertida a interpretação do texto legal nela aplicado, ainda que a jurisprudência do Supremo Tribunal Federal venha posteriormente firmar-se em sentido contrário (Precedentes: RREE. 89.824 e 89.833).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2026-07-28T01:58:39.908Z</dcterms:created>
  <dcterms:modified xsi:type="dcterms:W3CDTF">2026-07-28T01:58:39.908Z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