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07/09/1977</w:t>
      </w:r>
    </w:p>
    <w:p/>
    <w:p>
      <w:r>
        <w:t xml:space="preserve">LANCE VIL — FACULDADE RECONHECIDA AO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 o preço ofertado pelo arrematante, que corresponde a apenas 10% do valor do imóvel, chega a ser mais do que aviltante. Com razão observou a douta Procuradoria-Geral da Justiça que o recorrente se esquece de que "o processo tem conteúdo ético" e que, no caso, os herdeiros querem a divisão do patrimônio que lhes é comum e não a sua disponibilidade. - Conforme já decidiu o 1º Tribunal de Alçada Civil, em excelente acórdão da lavra do eminente Juiz OCTÁVIO STUCCHI, "em leilão judicial será dado ao juiz recusar lance vil. É que, sendo o resultado insatisfatório, ou infrutífero, não haverá motivação econômica ou jurídica a justificá-lo, porque o credor nada receberá e o devedor sofrerá gravame anormal" (cf. RT 478/113). Esse mesmo julgado, aliás, também não deixou de pôr em destaque o aspecto ético lembrado pelo ilustre Dr. Procurador da Justiça, ao salientar, com ensinamentos de CHIOVENDA, que "o juiz age como titular de uma função pública e no interesse dela" pelo que seria "uma violência intelectual conceder-se a intromissão dos licitantes, na definição de direito incontestável de compra por quem mais der". - Assim sendo, não só legítima como louvável a atitude do MM. Juiz, mormente no caso, em que prontamente agiu, antes que se expedisse a carta de arrematação. - Pelo exposto, negam provimento ao agravo. Julgado em 08-09-1977 Revista dos Tribunais, Janeiro, 1979 - Vol. 519 - Pág. 103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leilão judicial é dada ao juiz a faculdade de recusar lance vil, sendo lícita a anulação da arrematação.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2026-10-16T18:34:27.704Z</dcterms:created>
  <dcterms:modified xsi:type="dcterms:W3CDTF">2026-10-16T18:34:27.704Z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