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PRESIDENTE DO TRIBUNAL DE JUSTIÇA</w:t>
      </w:r>
    </w:p>
    <w:p/>
    <w:p>
      <w:r>
        <w:rPr>
          <w:b/>
          <w:bCs/>
        </w:rPr>
        <w:t xml:space="preserve">Recurso: </w:t>
      </w:r>
      <w:r>
        <w:t xml:space="preserve">RE 85.338</w:t>
      </w:r>
    </w:p>
    <w:p>
      <w:r>
        <w:rPr>
          <w:b/>
          <w:bCs/>
        </w:rPr>
        <w:t xml:space="preserve">Julgado em: </w:t>
      </w:r>
      <w:r>
        <w:t xml:space="preserve">21/09/1978</w:t>
      </w:r>
    </w:p>
    <w:p/>
    <w:p>
      <w:r>
        <w:t xml:space="preserve">EXTENSÃO — INDEPENDÊNCIA DO REGIME DE BENS - ABRANGÊNCIA - EFEITOS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acórdão recorrido, dando prosseguimento ao julgamento da apelação em virtude do que esta Corte decidiu ao julgar o RE 85.338, julgou procedente a ação, em parte, para condenar a ora recorrida a devolver a ora recorrente "a metade das doações em dinheiro que recebeu do amásio durante o concubinato, conforme se comprovar e apurar em execução regular por artigos" (...). - ...................................................... - Pela conjugação dos artigos 248, IV, e 1.177 do Código Civil, verifica-se que a invalidade da doação é o "prius" necessário à reivindicação do bem comum doado (seja ele imóvel, seja ele móvel, como o é o dinheiro). E a anulação é relativa à doação em sua totalidade, e não em parte dela, em função do regime de bens existente entre a esposa do doador e este. Com a anulação e consequente reivindicação, nem o marido, que doou, nem a concubina que recebeu a doação têm qualquer benefício, uma vez que o bem reivindicado, ingressa - como se vê do disposto no mesmo artigo 248, inciso V, do Código Civil - no patrimônio da mulher, que pode dele dispor livremente se for móvel, e, segundo alguns (assim, PONTES DE MIRANDA e VIRGÍLIO DE SÁ PEREIRA), ainda que imóvel (o que é contestado por BEVILÁQUA e ESPINOLA - vide deste as Anotações ao Código Civil Brasileiro, vol. III, págs. 292 e 293 - que exigem, para a sua alienação, como sucede aos imóveis particulares da mulher, a outorga marital). - O acórdão recorrido, ao limitar a reivindicação à metade das importâncias que vieram a ser apuradas como objeto de doação, negou vigência ao dispost o nos artigos 248, IV, e 1.177 do Código Civil. - .............................................................. - Em face do exposto, só conheço do recurso no tocante à extensão do "quantum" a ser restituído, e nessa parte lhe dou provimento para condenar a ora recorrida a devolver à ora recorrente a totalidade do valor das doações em dinheiro que recebeu do esposo desta, durante o concubinato, conforme se comprovar e apurar em execução por artigos, bem como, uma vez que não há sucumbência recíproca, em honorários de advogado que fixo em 10% do valor da condenação, e no pagamento das custas. Julgado em 22-09-1978 VOTO VENCIDO DO MINISTRO CORDEIRO GUERRA: - O que se discute, nestes autos, é a extensão das conseqüências de uma doação feita por homem casado à concubina. Negando-se a reivindicação do imóvel, assegurou-se à recuperação das quantias doadas indevidamente para a aquisição do mesmo. E, já que se admitiu a recuperação das importâncias doadas sem justo título, ela só pode ser feita pela moeda atualizada sob pena de negar-se o julgado, do que visa a proteção da estabilidade das famílias. - Conheço do recurso e lhe dou provimento. IDEM VENCIDO O MINISTRO DÉCIO MIRANDA Revista Trimestral de Jurisprudência. Março, 1980 - Vol. 91 - Pág. 1098 EMFOR 386 EMENTA: - Inteligência do art. 70, nº I, do Código de Processo Civil. - A denunciação da lide pode dar-se em ações possessórias, que são ações reais. RESUMO DO ACÓRDÃO: - É certo que há controvérsia a respeito do cabimento da denunciação da lide, na hipótese do nº I, do art. 70 do CPC, porque o texto legal somente se refere à ação de reivindicação, a fim de que o acionado possa posteriormente voltar-se contra a alienante do imóvel, no exercício do direito de evicção, conforme exige o art. 1.116 do Cód. Civil. - Consoante a lição do Prof. ARRUDA ALVIM "o significado, todavia, da expressão "reivindica" deve ser entendido como demanda a respeito do domínio. Por outras palavras, há, neste inciso, que se entender que o legislador "dixit minus quam voluit". E isto porque a evicção, tendo em vista a hipótese do nº I, do art. 70, ocorre quando, por sentença, se atribua a outrem a propriedade de uma dada coisa. Ante o instituto da evicção que é o que interessa a esta análise, uma série de ações não comportaria a denunciação da lide se interpretássemos literalmente o texto, ficando à margem hipóteses versantes sobre o domínio, nas quais ocorreria evicção" (autor cit., "Código de Processo Civil Comentado" art. 70, Ed. Revista dos Tribunais, 1976). - Bem por isso PONTES DE MIRANDA, com a sua inegável autoridade, afirma que a denunciação da lide pode dar-se nas ações possessórias que são ações de natureza real (autor cit., "Comentários ao Código de Processo Civil", tomo II/117, ed. Forense, art. 70). - Assim também entendeu a 6ª Câmara Civil deste Tribunal, com excelentes argumentos, in "Revista de Jurisprudência do TJSP" 29/161 e 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Aplicação dos artigos 248, IV e V, e 1.177 do Código Civil. - A extensão da restituição do bem comum doado a concubina (seja móvel) independe do regime de bens existente entre a esposa reivindicante e o esposo doador, e o abrange todo, e não apenas parcela dele. - O bem reivindicado ingressa no patrimônio da esposa reivindicante.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2026-10-26T02:52:08.362Z</dcterms:created>
  <dcterms:modified xsi:type="dcterms:W3CDTF">2026-10-26T02:52:08.362Z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