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PRESIDENTE DO TRIBUNAL DE JUSTIÇA</w:t>
      </w:r>
    </w:p>
    <w:p/>
    <w:p>
      <w:r>
        <w:rPr>
          <w:b/>
          <w:bCs/>
        </w:rPr>
        <w:t xml:space="preserve">Julgado em: </w:t>
      </w:r>
      <w:r>
        <w:t xml:space="preserve">06/08/1979</w:t>
      </w:r>
    </w:p>
    <w:p/>
    <w:p>
      <w:r>
        <w:t xml:space="preserve">FORO COMPETENTE — QUANDO SE DESLOCA PARA O DA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Consoante se vê dos arts. 11 a 21 do Decreto-lei nº 25, de 30-11-1937, que regulam os efeitos do tombamento de bens móveis e imóveis integrantes do patrimônio histórico e artístico nacional, constitui esse tombamento um ônus de natureza especial, que adere aos ditos bens, não importa qual seja o proprietário. - Assim, à União Federal caberia, na eventualidade da desapropriação, ou exercer seu direito de preferência à aquisição (art. 22), ou, simplesmente, registrar a alteração na titularidade do bem. - A assistência a uma das partes não tinha sentido. Assistir a desapropriada, para que conseguisse maior preço? Assistir à expropriante, para que pagasse menos? - Sensata fora a manifestação do Diretor Geral do Instituto do Patrimônio Histórico e Artístico Nacional, infelizmente não acolhida pelo Procurador da República. Disse aquele Diretor, referindo-se à iniciativa do Município, "que tal desapropriação atende aos interesses do IPHAN, conforme expresso em informação de 24 de maio de 1976, dirigida ao Senhor Ministro da Educação e Cultura, no processo 220.939". (...). - Admitindo a assistência da União Federal e o consequente deslocamento do feito para Justiça Federal, quando estabelece a competência daquela Justiça se a União é interessada na condição de assistente. - A matéria foi prequestionada, pois o acórdão declara haver decidido após ressaltado o interesse da União pelos esclarecimentos... E estes dizem respeito, precisamente, à sustentação, pelo Procurador da Republica, do interes se da União. - Por outro lado, os acórdãos divergentes invocados salientam que o interesse da União, capaz de deslocar a competência, há de ser real, não bastando a intervenção meramente formal, ou mesmo "adjuvandum". - Conheço do recurso extraordinário, pelas alíneas "a" e "d", e lhe dou provimento, para que a causa tenha prosseguimento na Justiça local. - É o meu voto. Julgado em 07-08-1979 Revista Trimestral de Jurisprudência. Fevereiro, 1980 - Vol. 91 - Pág. 720 EMFOR 386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desapropriação, pelo Estado ou pelo Município, de bem tombado como patrimônio histórico e artístico nacional, não suscita interesse da União Federal capaz de deslocar o processo para a Justiça Federal, a não ser que a União manifeste seu direito de preferência. - O ônus do tombamento acompanha o bem, qualquer que seja o proprietário (Decreto-lei nº 25, de 30-11-37, arts. 11 a 21).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2026-07-28T00:50:09.025Z</dcterms:created>
  <dcterms:modified xsi:type="dcterms:W3CDTF">2026-07-28T00:50:09.026Z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