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08/08/1979</w:t>
      </w:r>
    </w:p>
    <w:p/>
    <w:p>
      <w:r>
        <w:t xml:space="preserve">INSTAURAÇÃO ANTES DO PROCESSO PRINCIPAL — SE É APLICÁVEL O PRINCÍPIO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distinguir entre procedimento cautelar preparatório e incidental. Neste, segundo vem decidindo a nossa jurisprudência, não cabe condenação em honorários, porque o pedido é incidental à ação principal e o assunto será resolvido, em definitivo, no julgamento desta. - O mesmo não ocorre, todavia, quando o procedimento é preparatório da ação principal, como no caso, em que procede a condenação, pois, em custas e honorários. "Em processo cautelar preparatório é aplicável o princípio da sucumbência, cabendo honorários advocatícios" ("Julgados do Tribunal de Alçada Civil de São Paulo, vol. 32/151 e RTJ, vol. 58/825). - Esta Câmara já teve oportunidade de se pronunciar, em casos idênticos. (Jurisprudência Catarinense, vols. 9/10 e 13, págs. 124 e 131, respectivamente e ap. civ. Nº 13.197, de São Joaquim, julgada em 31-08-78). - Pelo exposto, dá-se provimento ao recurso, (...). Julgado em 09-08-1979 Jurisprudência Catarinense. 3º Trimestre, 1979 - Nº XXV - Pág. 104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sucumbência é aplicável ao procedimento cautelar instaurado antes do processo principal, ensejando, consequentemente a condenação na verba honorária.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2026-10-26T04:19:02.107Z</dcterms:created>
  <dcterms:modified xsi:type="dcterms:W3CDTF">2026-10-26T04:19:02.107Z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