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PRESIDENTE DO TRIBUNAL DE JUSTIÇA</w:t>
      </w:r>
    </w:p>
    <w:p/>
    <w:p>
      <w:r>
        <w:rPr>
          <w:b/>
          <w:bCs/>
        </w:rPr>
        <w:t xml:space="preserve">Recurso: </w:t>
      </w:r>
      <w:r>
        <w:t xml:space="preserve">agravo regimental .</w:t>
      </w:r>
    </w:p>
    <w:p>
      <w:r>
        <w:rPr>
          <w:b/>
          <w:bCs/>
        </w:rPr>
        <w:t xml:space="preserve">Julgado em: </w:t>
      </w:r>
      <w:r>
        <w:t xml:space="preserve">15/02/1979</w:t>
      </w:r>
    </w:p>
    <w:p/>
    <w:p>
      <w:r>
        <w:t xml:space="preserve">s cabe a aplicação do princípio da sucumbência. — Rejeito os embargos.
Jurisprudência Mineira. Julho a Setembro, 1979 - Vol. 75 - Pág. 68
EMFOR 390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os honorários foram bem concedidos. E, diante da sucumbência mínima do pedido, aplicou a Turma julgadora o art. 21, § único, do Código de Processo Civil. - Afastada, portanto, a transgressão das normas apontadas, não se justifica a abertura da instância extraordinária, que envolveria, apenas o reexame de circunstâncias de fato (Súmula 279(*))." - Aliás, a redução da verba concernente a honorários advocatícios não configura sucumbência recíproca para os fins previstos no art. 21 do Código de Processo Civil. Tais honorários não integram o pedido; constituem sanções processuais impostas ao vencido e fixados quantitativamente, pelo juiz, entre o mínimo de 10% e o máximo de 20%, sobre o valor da condenação atendidos os fatores anunciados nas letras "a", "b" e "c" do § 3º do art. 20. - Ante o exposto, nego provimento ao agravo regimental. Julgado em 16-02-1979 Revista Trimestral de Jurisprudência. Maio, 1980 - Vol. 92 - Pág. 665 (*) "Para simples reexame de prova não cabe recurso extraordinário." ("EMENTÁRIO FORENSE", Nº 193, t. RECURSO EXTRAORDINÁRIO, st. PROVA). EMFOR 390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redução da verba concernente aos honorários advocatícios não dá ensejo à sucumbência reciproca, para autorizar a imposição de honorários ao vencedor da causa, porquanto não integram eles o pedido; constituem sanção processual imposta ao vencido e fixados, quantitativamente, pelo juiz obedecidos os limites e critérios estabelecidos no § 3º, e seus incisos, do art. 29 do Código de Processo Civil.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2026-10-26T02:34:43.454Z</dcterms:created>
  <dcterms:modified xsi:type="dcterms:W3CDTF">2026-10-26T02:34:43.454Z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