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Recurso: </w:t>
      </w:r>
      <w:r>
        <w:t xml:space="preserve">RE 91.505</w:t>
      </w:r>
    </w:p>
    <w:p>
      <w:r>
        <w:rPr>
          <w:b/>
          <w:bCs/>
        </w:rPr>
        <w:t xml:space="preserve">Julgado em: </w:t>
      </w:r>
      <w:r>
        <w:t xml:space="preserve">01/09/1980</w:t>
      </w:r>
    </w:p>
    <w:p/>
    <w:p>
      <w:r>
        <w:t xml:space="preserve">FIXAÇÃO EM LEI MUNICIPAL — SE É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acertadamente, lembra a ilustrada Procuradoria Geral do Estado, "Na verdade, sobre a matéria profligada existem soluções divergentes. Todavia, a partir de 1975 (RT 495/97; 505/109; 500/105; 492/114; 486/92; 494/88 e 512/147), a jurisprudência aplaude o entendimento de que a privacidade, para dizer sobre o assunto horário de funcionamento de banco, é exclusiva da União". - No mesmo sentido a decisão atinente ao RE nº 91.505, de Mato Grosso do Sul, em sessão plenária do Pretório Excelso, de 10-10-1979, tendo como Relator o preclaro Min. DÉCIO MIRANDA. - E para não nos afastarmos desta "Domus Nostra": "Mandado de Segurança. Competência para legislar sobre horário de bancos. Compete à União, e não aos Municípios, legislar sobre o horário de bancos. Precedentes do Supremo Tribunal Federal" (Ac. Unânime da 2ª C.Cível, de 06-12-1979. Relator o eminente Des. OSNY CAETANO. Jurisp. Catarinense, 27-69) - "Ex positis", decidiu a Câmara reexaminar a respeitável decisão recorrida e confirmá-la "in totum". Julgado em 02-09-1980 Jurisprudência Catarinense. 4º Trimestre, 1980 - Nº XXX - Pág. 126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Jurisprudência mais recente, inclusive no Excelso Pretório e no Egrégio Tribunal de Justiça de Santa Catarina, esposa o entendimento de que a competência para legislar sobre horário de funcionamento das agências bancárias é privativa da União, afastada do assunto, qualquer participação dos Municípios.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2026-07-28T00:11:08.249Z</dcterms:created>
  <dcterms:modified xsi:type="dcterms:W3CDTF">2026-07-28T00:11:08.249Z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