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PRESIDENTE DO TRIBUNAL DE JUSTIÇA</w:t>
      </w:r>
    </w:p>
    <w:p/>
    <w:p>
      <w:r>
        <w:rPr>
          <w:b/>
          <w:bCs/>
        </w:rPr>
        <w:t xml:space="preserve">Julgado em: </w:t>
      </w:r>
      <w:r>
        <w:t xml:space="preserve">01/04/1979</w:t>
      </w:r>
    </w:p>
    <w:p/>
    <w:p>
      <w:r>
        <w:t xml:space="preserve">REGIME DE SEPARAÇÃO DE BENS — SEU DIREITO À SUCESSÃO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razão não assiste à agravante, porquanto nos termos do artigo 1.612 do Código Civil, "se não houver descendentes, nem ascendentes, nem cônjuge sobrevivente, serão chamados a suceder os colaterais até o quarto grau" ("Direito Civil", SÍLVIO RODRIGUES, vol. 7, pág. 85). - No caso, vertente, ante a existência de cônjuge viúvo, não há falar-se na possibilidade de concorrer a agravante, que se diz sobrinha da "de cujus", como herdeira colateral da inventariada, mesmo em se tratando de casamento realizado com separação de bens. - É que não existindo descendentes ou ascendentes, o herdeiro será o cônjuge sobrevivente, pouco importando o regime de bens (CARVALHO SANTOS, "Código Civil Interpretado", vol. XXII, pág. 251). - ................................... - Nego provimento ao agravo. Julgado em 02-04-1979 Jurisprudência Catarinense. Abril a Junho, 1979 - Vol. 74 - Pág. 56 EMFOR 390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Face à existência de cônjuge viúvo, e não existindo descendentes ou ascendentes, será o mesmo herdeiro, com exclusão dos colaterais, até o quarto grau, mesmo em se tratando de casamento realizado com separação de bens.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2026-07-28T00:05:40.605Z</dcterms:created>
  <dcterms:modified xsi:type="dcterms:W3CDTF">2026-07-28T00:05:40.605Z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