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IMPROBIDADE ADMINISTRATIVA</w:t>
      </w:r>
    </w:p>
    <w:p/>
    <w:p>
      <w:r>
        <w:rPr>
          <w:b/>
          <w:bCs/>
        </w:rPr>
        <w:t xml:space="preserve">Recurso: </w:t>
      </w:r>
      <w:r>
        <w:t xml:space="preserve">APELAÇÃO CÍVEL 000.169.264-9/00</w:t>
      </w:r>
    </w:p>
    <w:p/>
    <w:p>
      <w:r>
        <w:t xml:space="preserve">MULTA DE TRÂNSITO — PROPRIETÁRIO - LOCADORA DE VEÍCULO - PAGAMENTO - RESPONSABILIDADE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Administrativo. Trânsito. Locadora de veículos. Responsabilidade pelo pagamento de multas de trânsito. Cabe ao proprietário, nos termos do atual Código de Trânsito, a responsabilidade pelo pagamento de multas por infrações relacionadas a veículo de sua propriedade, ainda que praticadas pelo condutor. APELAÇÃO CÍVEL Nº 000.169.264-9/00 - COMARCA DE BELO HORIZONTE - APELANTE(S): LOCALIZA RENT A CAR LTDA. - APELADO(S): ESTADO DE MINAS GERAIS, DETRAN MG - DEPTO DE TRÂNSITO DE MINAS GERAIS - RELATOR: EXMO. SR. DES. PINHEIRO LAGO Vistos etc., acorda, em Turma, a SEGUNDA CÂMARA CÍVEL do Tribunal de Justiça do Estado de Minas Gerais, incorporando neste o relatório de fls., na conformidade da ata dos julgamentos e das notas taquigráficas, à unanimidade de votos, EM REJEITAR A PRELIMINAR E NEGAR PROVIMENTO. Belo Horizonte, 08 de maio de 2001. DES. PINHEIRO LAGO - Relator NOTAS TAQUIGRÁFICAS Assistiu ao julgamento, pela Apelante, o Dr. Jung Who Lim. O SR. DES. PINHEIRO LAGO: VOTO Conheço do recurso voluntário, aos pressupostos de admissibilidade. Rejeito a preliminar argüida pela Procuradoria- Geral de Justiça, porque a pretensão posta é perfeitamente hábil a uma resposta jurisdicional. Sobre esse ponto, há, nos autos, parecer do Departamento de Trânsito, em resposta a consulta formulada pelo Sindicato das Empresas Locadoras de Automóveis do Estado de Minas Gerais e Associação Brasileira das Locadoras de Automóveis, esclarecendo os limites da identificação do condutor já na vigência do atual código. Passo ao exame do mérito. Fazendo com que o Departamento de Trânsito de Minas Gerais submeta-se a procedimentos compreendidos no pedido, pretende a autora, empresa que atua no ramo de locação de veículos, declaração no sentido de que, com a informação, ao órgão, do locatário que tenha cometido infração de trânsito na condução de veículo de sua propriedade, fique afastada a responsabilidade pelo pagamento da multa, o que lhe proporcionaria obter novo licenciamento ou promover a alienação, sem que fosse compelida ao cumprimento da penalidade. Embora a ação tenha sido proposta ainda na vigência do antigo Código Nacional de Trânsito, é à luz da novel legislação que a controvérsia deve ser dirimida, porque ela é que passou a regulamentar toda a matéria, disciplinando, inclusive, os procedimentos administrativos que necessitariam ser implementados para imposição de penalidades por infrações de trânsito, a partir da configuração da responsabilidade do proprietário do veículo e do condutor. Nesse aspecto, pouco contribuem para a espécie eventuais análises jurisprudenciais, ainda que oriundas do Superior Tribunal de Justiça, sobre a lei revogada, se solução distinta foi conferida à questão. Dois são os preceitos do novo código que, a meu ver, possibilitam tal interpretação - o § 8º do art. 257 e § 3º do art. 282 - "verbis": "§ 8º (do art. 257). Após o prazo previsto no parágrafo anterior, não havendo identificação do infrator e sendo o veículo de propriedade de pessoa jurídica, será lavrada nova multa ao proprietário do veículo, mantida a originada pela infração, cujo valor é o da multa pelo número de infrações iguais cometidas no período de doze meses." "§ 3º (do art. 282). Sempre que a penalidade de multa for imposta a condutor, à exceção daquela de que trata o § 1º do art. 259 (nota: o § 1º do art. 259 foi vetado), a notificação será encaminhada ao proprietário do veículo, responsável pelo seu pagamento." Pode-se, é verdade, invocar o conteúdo do art. 257, § 7º, cuja redação admite concluir que o proprietário do veículo só será responsabilizado pela infração caso não seja possível a identificação do condutor. Mas o cotejo desse parágrafo com as normas transcritas não impõe a mesma orientação sobre a matéria. Como entender que a identificação do condutor faz desaparecer a responsabilidade do proprietário quanto a todas as penalidades relacionada s à infração, se o § 3º do art. 282, afirma, categoricamente, que o proprietário continua responsável pelo pagamento de multa? Persistindo a interpretação, com apoio no § 7º do art. 257, de que, com a identificação do condutor, cessa toda e qualquer responsabilidade do proprietário, estar-se-à negando eficácia àquela norma. A única solução que acredito válida, a fim de que se mantenham íntegros os dois preceitos, é de que a única responsabilidade que permite-se possa ser afastada do proprietário diz respeito à pontuação na carteira de motorista, permanecendo com este a responsabili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2026-10-26T02:37:02.774Z</dcterms:created>
  <dcterms:modified xsi:type="dcterms:W3CDTF">2026-10-26T02:37:02.774Z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