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SISTEMA FINANCEIRO DA HABITAÇÃO</w:t>
      </w:r>
    </w:p>
    <w:p/>
    <w:p/>
    <w:p>
      <w:r>
        <w:t xml:space="preserve">02. POLÍTICA NACIONAL DO CINEMA — ESTABELECE - ANCINE - CRIA - PRODECINE - INSTITUI - FUNCINES - AUTORIZA A CRIAÇÃO - LEGISLAÇÃO - ALTERA</w:t>
      </w:r>
    </w:p>
    <w:p/>
    <w:p>
      <w:pPr>
        <w:pStyle w:val="Heading2"/>
      </w:pPr>
      <w:r>
        <w:rPr>
          <w:b/>
          <w:bCs/>
        </w:rPr>
        <w:t xml:space="preserve">Ementa</w:t>
      </w:r>
    </w:p>
    <w:p>
      <w:r>
        <w:t xml:space="preserve">CAPÍTULO V DO SISTEMA DE INFORMAÇÕES E MONITORAMENTO DA INDÚSTRIA CINEMATOGRÁFICA E VIDEOFONOGRÁFICA Art. 16. Fica criado o Sistema de Informações e Monitoramento da Indústria Cinematográfica e Videofonográfica, de responsabilidade da ANCINE, podendo para sua elaboração e execução ser conveniada ou contratada entidade ou empresa legalmente constituída. Art. 17. Toda sala ou espaço de exibição pública destinada à exploração de obra cinematográfica em qualquer suporte deverá utilizar o sistema de controle de receitas de bilheteria, conforme definido em regulamento pela ANCINE. Art. 18. As empresas de exibição deverão emitir relatório enumerando as obras cinematográficas brasileiras e estrangeiras exibidas no período pelos cinemas de sua rede de exibição, número de dias de exibição, número de espectadores e renda de bilheteria, conforme definido em regulamento, devendo estas informações ser remetidas à ANCINE. Art. 19. As empresa distribuidoras e locadoras de obras cinematográficas para vídeo, doméstico ou para venda direta ao consumidor, em qualquer suporte, deverão emitir semestralmente relatório enumerando as obras cinematográficas brasileiras distribuídas no período, número de obras estrangeiras e sua relação, número de cópias distribuídas por título, conforme definido em regulamento, devendo estas informações serem remetidas à ANCINE. Art. 20. Poderá ser estabelecida, por lei, a obrigatoriedade de fornecimento periódico de informações sobre veiculação ou difusão de obras cinematográficas e videofonográficas para empresas operantes em outros segmentos de mercado além daqueles indicados nos arts. 18 e 19. Art. 21. As cópias das obras cinematográficas e videofonográficas destinadas à venda, cessão, empréstimo, permuta, locação, exibição, com ou sem fins lucrativos, bem como as obras cinematográficas e videofonográficas publicitárias deverão conter em seu suport e marca indelével e irremovível com a identificação do detentor do direito autoral no Brasil, com todas as informações que o identifiquem, conforme modelo aprovado pela ANCINE e pela Secretaria da Receita Federal do Ministério da Fazenda, sem prejuízo do que trata a Lei nº 9.610, de 19 de fevereiro de 1998, e o Decreto nº 2.894, 22 de dezembro de 1998. Parágrafo único. No caso de obras cinematográficas e videofonográficas publicitárias, a marca indelével e irremovível de que trata o caput e nas finalidades ali previstas deverá constar na claquete de identificação. (Redação dada pela pela Lei nº 10.454, de 13.05.2002) Art. 22. É obrigatório o registro das empresas de produção, distribuição, exibição de obras cinematográficas e videofonográficas nacionais ou estrangeiras na ANCINE, conforme disposto em regulamento. Parágrafo único. Para se beneficiar de recursos públicos ou incentivos fiscais destinados à atividade cinematográfica ou videofonográfica a empresa deve estar registrada na ANCINE. Art. 23. A produção no Brasil de obra cinematográfica ou videofonográfica estrangeira deverá ser comunicada à ANCINE. Parágrafo único. A produção e a adaptação de obra cinematográfica ou videofonográfica estrangeira, no Brasil, deverão realizar-se mediante contrato com empresa produtora brasileira, que será a responsável pela produção perante as leis brasileiras. Art. 24. Os serviços técnicos de cópia e reprodução de matrizes de obras cinematográficas e videofonográficas que se destinem à exploração comercial no mercado brasileiro deverão ser executados em laboratórios instalados no País. Parágrafo único. As obras cinematográficas e videofonográficas estrangeiras estão dispensadas de copiagem obrigatória no País até o limite de 6 (seis) cópias, bem como seu material de promoção e divulgação nos limites estabelecidos em regulamento. (Redação dada pela pela Lei nº 10.454, de 13.05.2002) Redação anterior: Parágrafo único. As obras cinematográficas e obras videofonográficas estrangeiras estão dispensadas da exigência de copiagem obrigatória no País, até o limite de seis cópias em qualquer formato ou sistema. Art. 25. Toda e qualquer obra cinematográfica ou videofonográfica publicitária estrangeira só poderá ser veiculada ou transmitida no País, em qualquer segmento de mercado, após pagamento da Contribuição para o Desenvolvimento da Indústria Cinematográfica Nacional - CONDECINE, de que trata o art. 32. (Redação dada pela pela Lei nº 10.454, de 13.05.2002) Redação anterior: "Art. 25. Toda e qualquer obra cinematográfica ou videofonográfica publicitária estrangeira só poderá ser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2026-07-28T00:26:57.114Z</dcterms:created>
  <dcterms:modified xsi:type="dcterms:W3CDTF">2026-07-28T00:26:57.114Z</dcterms:modified>
</cp:coreProperties>
</file>

<file path=docProps/custom.xml><?xml version="1.0" encoding="utf-8"?>
<Properties xmlns="http://schemas.openxmlformats.org/officeDocument/2006/custom-properties" xmlns:vt="http://schemas.openxmlformats.org/officeDocument/2006/docPropsVTypes"/>
</file>