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CUMPRIMENTO DE CLÁUSULA CONTRATUAL</w:t>
      </w:r>
    </w:p>
    <w:p/>
    <w:p>
      <w:r>
        <w:rPr>
          <w:b/>
          <w:bCs/>
        </w:rPr>
        <w:t xml:space="preserve">Recurso: </w:t>
      </w:r>
      <w:r>
        <w:t xml:space="preserve">APELAÇÃO CÍVEL 000.170.646-4/00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FALÊNCIA — IMPONTUALIDADE - PROVA - PROTESTO - IRREGULARIDADE - INTIMAÇÃO - IDENTIFICAÇÃO DA PESSOA QUE A RECEBEU - AUSÊNCIA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FALÊNCIA. PROVA DA IMPONTUALIDADE. PROTESTO FORMALIZADO IRREGULARMENTE. É de considerar-se formalizado irregularmente, com a conseqüência de não ficar demonstrada a impontualidade da empresa devedora, o protesto de títulos que não seguir as formalidades legais, entre as quais a de deixar clara a identificação da pessoa que receber a intimação em nome do representante da pessoa jurídica. APELAÇÃO CÍVEL Nº 000.170.646-4/00 - COMARCA DE BELO HORIZONTE - APELANTE(S): ROBERTO RANDAZZO - ANELADOS): ALTEROSA PROTEÇÃO IND. LTDA. - RELATOR: EXMO. SR. DES. ALUÍZIO QUINTÃO Vistos etc., acorda, em Turma, a QUINTA CÂMARA CÍVEL do Tribunal de Justiça do Estado de Minas Gerais, incorporando neste o relatório de fls., na conformidade da ata dos julgamentos e das notas taquigráficas, EM NEGAR PROVIMENTO, VENCIDO O VOGAL. Belo Horizonte, 28 de setembro de 2000. DES. ALUÍZIO QUINTÃO - Relator NOTAS TAQUIGRÁFICAS O SR. DES. ALUÍZIO QUINTÃO: VOTO Trata-se de sentença que, na ação de falência de Alterosa Proteção Industrial Ltda. proposta por Roberto Randazzo, com base no débito de R$6.484,25 (seis mil, quatrocentos e oitenta e quatro reais e vinte cinco centavos), representado por cheques por ela emitidos, julgou extinto o processo, sem julgamento do mérito, ao fundamento de não ter havido intimação regular da empresa devedora no instrumento de protesto. Conheço da regular apelação em que está o Autor insistindo na regularidade do protesto, a pretexto de não ser prevista legalmente a intimação pessoal do representante da empresa, ser bastante para cheques o protesto comum e ser prevalente a fé pública do Tabelião na intimação do devedor pelo SEED. Não lhe assiste razão, no entanto, conforme salientou a Procuradoria-Geral de Justiça, ao opinar pelo desprovimento do recurso, em posição que coincide com a que venho mantendo nesta Quinta Câmara Cível, em casos que tais (e.g., Ap. nº. 112.188-8, 173.384-9 e Ag. de Inst. nº 166.052-1.00). É que, na feitura do protesto que marca a impontualidade, a intimação não pode ser feita sem os cuidados necessários para a adequada cientificação do devedor. E isso é válido tanto para o protesto cambial comum para como para o protesto especial da lei falimentar, como deixam ver o art. 11 do Decreto-Lei nº 7.661/45 e o art. 14 da Lei nº 9.492/97. É que, qualquer que seja o protesto e, com maior razão, para o fim de requerer-se a falência do devedor, o desejável é a sua intimação pessoal; caso contrário, importante é que do seu instrumento conste pelo menos a identificação da pessoa que tiver recebido o documento do Cartório em nome da pessoa jurídica que, assim cientificada, deve ter a chance de posicionar-se frente ao intuito do credor. Ora, no caso concreto, de início, aos autos vieram instrumentos de protesto, com certidões genéricas sobre a intimação do devedor "através de notificação entregue pelo SEED" (fls. 04 e 17), sem indicar quem a recebeu, não merecendo consideração outra certidão apresentada na fase recursal (fls.77). A propósito, aliás, já se afirmou, com muita propriedade, que "a Lei de Falências não foi elaborada apenas para proteger o credor. Zela também pelo devedor, com o escopo de garantir a maior segurança possível em casos tão extremos onde concorrem interesses tão diversos. Daí a cautela que se impõe ao Magistrado, para inibir a utilização indiscriminada do instituto da falência, empregada por credores que dispõem de meios adequados e eficazes para a satisfação dos seus créditos." (RT 739/405-TJSC). E tal como temos feito em julgamentos semelhantes, há vários precedentes jurisprudenciais neste Tribunal (v.g., Ap. nº 116.805-3, pub. no "Minas Gerais" de 04.3.99; Ap. nº 115.309-7, pub. no "Minas Gerais"de 07.4.99), como no STJ (v.g.,REsp nº 172847/SC, DJU de 24.5.99), entre outros, como o acórdão do REsp nº 157.637/SC, de que foi Relator o Ministro Ruy Rosado de Aguiar, com a seguinte ementa: "A falência, instituto que tem sido desvirtuado para servir de instrumento coativo à cobrança de dívidas, não pode ser deferida, se não atendidas rigorosamente as exigências formais. Afirmada a irregularidade do protesto, ausente a identificação da pessoa que recebeu a intimação, descabe reapreciar o tema em recurso especial. Precedentes. Recurso não conhecido." Em tais termos, portanto, confirmo a sentença, negando provimento à apelação. Custas pelo Apelante. O SR. DES. JOSÉ FRANCISCO BUENO: VOTO De acordo. O SR. DES. CLÁUDIO COSTA: Data venia, dou provimento ao recurso, para anula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2026-10-26T02:34:17.521Z</dcterms:created>
  <dcterms:modified xsi:type="dcterms:W3CDTF">2026-10-26T02:34:17.521Z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