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REIVINDICATÓRIA</w:t>
      </w:r>
    </w:p>
    <w:p>
      <w:r>
        <w:rPr>
          <w:i/>
          <w:iCs/>
          <w:color w:val="666666"/>
        </w:rPr>
        <w:t xml:space="preserve">POSSUIDOR DE BOA-FÉ</w:t>
      </w:r>
    </w:p>
    <w:p/>
    <w:p>
      <w:r>
        <w:rPr>
          <w:b/>
          <w:bCs/>
        </w:rPr>
        <w:t xml:space="preserve">Relator: </w:t>
      </w:r>
      <w:r>
        <w:t xml:space="preserve">RENATO MANESCHY</w:t>
      </w:r>
    </w:p>
    <w:p/>
    <w:p>
      <w:r>
        <w:t xml:space="preserve">QUANDO PODE INFLUIR NESTA O JULGAMENTO DAQUELA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Normalmente, a apreciação de uma ação de manutenção ou de reintegração de posse não compromete a solução do usucapião. As ações, ainda que em ambas se aprecie matéria de posse, são autônomas. - Na obra "Usucapião Constitucional Especial e Comum", de ULDERICO PIRES DOS SANTOS, edição 1990, pág. 118, encontramos: "Corretamente decidiu a 4ª Câmara Cível do Tribunal de Alçada do Estado do Rio de Janeiro, quando afirmou que a improcedência ou a procedência da ação possessória nenhum reflexo poderá ter na ação de usucapião onde se demanda a declaração de domínio, por isso que o decidido na primeira não influi na decisão da segunda (AI 16.632 - RJ, Rel. Juiz RENATO MANESCHY). No mesmo sentido decidiu a 7ª Câmara Civil do TACiv. - SP ao julgar o Agravo 354.953, de Ubatuba. - Acórdão do Tribunal de Justiça do Paraná aborda outro enfoque: "Possessória e Usucapião - Concorrência de ações. O exercício da ação possessória só exclui o de usucapião ou de reivindicatória, se a posse for disputada a título de domínio (TJ - PR - 1ª Câm. em 21-8-1985 - Des. NUNES DO NASCIMENTO). Ac. de 17-04-1990 Jurisprudência Catarinense - 1º e 2º Trimestres de 1990 - Vol. 66 - Pág. 113 EMFOR - 516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julgamento da ação possessória pode influir na ação de usucapião se a posse for disputada a título de domínio.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2026-10-26T02:34:20.331Z</dcterms:created>
  <dcterms:modified xsi:type="dcterms:W3CDTF">2026-10-26T02:34:20.331Z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