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Julgado em: </w:t>
      </w:r>
      <w:r>
        <w:t xml:space="preserve">09/06/1980</w:t>
      </w:r>
    </w:p>
    <w:p/>
    <w:p>
      <w:r>
        <w:t xml:space="preserve">ALIENAÇÃO POR PREÇO INFERIOR — PREVALÊNCIA DESTE PARA OS EFEITOS FISCAIS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Dr. Promotor Público da Comarca opinou pela denegação do pedido. - O Dr. Juiz de Direito concedeu a segurança e recorreu, "ex officio", a esta Egrégia Superior Instância. - Pela confirmação do decisório manifestou-se a douta procuradoria Geral do Estado. - Com efeito, agiu acertadamente o ilustrado julgador. - Muitas vezes as mercadorias são, na realidade, vendidas por preço inferior ao fixado, pelas autoridades fazendárias, na respectiva pauta de valores tributários. - Injusto seria obrigar-se o contribuinte a satisfazer imposto indevido. - Salienta, com muita razão, o órgão superior do Ministério Público: "Na verdade está correta a prestação jurisdicional entregue, porquanto "não pode o fisco obrigar o contribuinte a vender mercadorias acima do seu preço real, nem pretender que o imposto seja pago na conformidade de pauta por ele organizada, quando esta exorbita a carga tributária. Demonstrada a realidade do preço da venda, não pode sobre ele prevalecer a presunção da Pauta de Valores Mínimos" (Jurisprudência Catarinense 18/113). Nesse sentido são inúmeros os precedentes jurisprudenciais, conforme se infere dos julgados insertos na R.T.J. 59/915, 72/907, 74/840 e Jurisprudência Catarinense 11/12, pág. 224/226, 23/24, pág. 38 e 25. pág. 265". Julgado em 10-06-1980 Jurisprudência Catarinense, 3º Trimestre de 1980 - Nº XXIX - Pág. 83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Provado, documentalmente, que a mercadoria foi alienada por preço inferior ao previsto na Pauta de Valores Mínimos, deve prevalecer o valor real para efeito de pagamento de tributos, conforme pacífica jurisprudência do Egrégio de Justiça de Santa Catarina.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2026-09-10T23:37:36.555Z</dcterms:created>
  <dcterms:modified xsi:type="dcterms:W3CDTF">2026-09-10T23:37:36.555Z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