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Julgado em: </w:t>
      </w:r>
      <w:r>
        <w:t xml:space="preserve">31/08/1978</w:t>
      </w:r>
    </w:p>
    <w:p/>
    <w:p>
      <w:r>
        <w:t xml:space="preserve">SEPARAÇÃO DE BENS — NOMEAÇÃO PARA O CARGO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não nega, antes reconhece, que a recorrente, por ter direito, "ex vi" do art. 1.611, § 1º, do Código Civil, enquanto durar a viuvez, ao usufruto da quarta parte dos bens do cônjuge falecido, possui a qualidade de herdeira. Considerando, entretanto, o regime dos bens do casamento, que era o da separação de bens, concluiu, ao interpretar o art. 990, II, do CPC, não lhe caber inventariança, que, no seu entender, tocava, no caso, à filha do "de cujus". Não tomou em conta o arresto, contudo, como realça o voto vencido, que a viúva é meeira relativamente aos bens adquiridos durante o matrimônio, bens até em maior quantidade e valor. Diz, por certo, o arresto impugnado que essa é a matéria, isto é, o direito aos aquestos, dependeria de exame judicial específico não feito no inventário. Entretanto, o fato da aquisição de bens cuja data de aquisição se acha indicada, não é contestado nos autos. Por isso mesmo afirmam, em unissono, o voto vencido e o parecer da Procuradoria-Geral da República, que a recorrente possuía a posse e administração da herança. - Desse modo, como a requerente, pelo direito que lhe assiste, ao usufruto de uma quarta-parte dos bens do cônjuge falecido, detém a qualidade de herdeira e, como de outra parte, se achava na posse e administração do espólio, irrecusável é o seu direito à inventariança, uma vez que, para isso, preenchia os requisitos do item II, do art. 990 da Lei processual civil. - Recusando-lhe, pois, tal direito, o acórdão recorrido, negou vigência a esse preceito legal, o que me leva a conhecer do recurso e dar-lhe provimento. Julgado em 01-09-1978 Revista Trimestral de Jurisprudência. Setembro, 1979 - Vol. 89 -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direito a inventariança o cônjuge sobrevivente que, não obstante casado sob o regime da separação legal de bens, tinha a posse e administração do espólio, em razão do direito à meação de bens adquiridos durante o matrimônio.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2026-09-10T23:37:22.938Z</dcterms:created>
  <dcterms:modified xsi:type="dcterms:W3CDTF">2026-09-10T23:37:22.938Z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