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Julgado em: </w:t>
      </w:r>
      <w:r>
        <w:t xml:space="preserve">01/10/1979</w:t>
      </w:r>
    </w:p>
    <w:p/>
    <w:p>
      <w:r>
        <w:t xml:space="preserve">OCORRÊNCIA TÃO SÓ DA "LITISPENDÊNCIA PARCIAL" — CONTINÊNCIA - REUNIÃO DE PROCESSOS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Embora em ambas as demandas se discuta reajustamento de aluguel, as partes não se encontram na mesma posição processual, eis que, na presente, o 1º apelante é autor e, na outra, é réu. - Tal circunstância afigura-se suficiente para afastar a idéia de litispendência, porque não se pode considerar que a presente seja repetição da que foi ajuizada na 6ª Vara Cível, e, segundo o § 3º do artigo 301, "há litispendência, quando se repete ação que está em curso". - No caso, o cotejo da inicial da presente ação com o texto da peça inaugural da ação em curso na 6ª Vara Cível (... ), evidencia, isto sim, a existência do que a doutrina italiana chamou de "litispendência parcial", que ocorre sempre que duas demandas estão ligadas entre si por uma relação de identidade de seus elementos constitutivos, como na litispendência, com a diferença que na causa continente o "petitum" é mais amplo que o da outra (cfr. JOSÉ FREDERICO MARQUES, "Instituições de Direito Processual Civil", vol. III, nº 695). - Reconhecida, assim, a ocorrência de continência, impõe-se a reunião dos processos, porque a eficácia da sentença depende da cumulação (art. 105 do Código de Processo Civil). - Com esses fundamentos, dá-se provimento a primeira apelação e considera-se prejudicada a segunda. Julgado em 02-10-1979 Arquivo do Ementário Forense, TA/299 EMFOR 387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há, entre duas ações, litispendência se as partes não estão na mesma posição processual e se a segunda não é repetição da primeira.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2026-09-11T00:15:09.894Z</dcterms:created>
  <dcterms:modified xsi:type="dcterms:W3CDTF">2026-09-11T00:15:09.894Z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