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76.397</w:t>
      </w:r>
    </w:p>
    <w:p>
      <w:r>
        <w:rPr>
          <w:b/>
          <w:bCs/>
        </w:rPr>
        <w:t xml:space="preserve">Julgado em: </w:t>
      </w:r>
      <w:r>
        <w:t xml:space="preserve">11/12/1978</w:t>
      </w:r>
    </w:p>
    <w:p/>
    <w:p>
      <w:r>
        <w:t xml:space="preserve">REFORMA DO DESPACHO ANTERIOR QUE A RECEBERA NO DUPLO EFEITO — SE SIGNIFICA INOVAÇÃO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respeito, esta E. Câmara, no MS 76.397, de São Paulo, já decidira que o despacho anterior, que recebera a apelação no duplo efeito, não significava inovar no processo, pois os atos praticados no juízo "a quo" depois desse recebimento não implicam novas decisões, a despeito de poder o magistrado, inclusive, declarar a deserção do recurso. - Ensina J. C. BARBOSA MOREIRA, em seus "Comentários ao Código de Processo Civil", vol. V/364: "O juiz deve declarar, ao receber a apelação os efeitos por ela produzidos (art. 518). Não significa isso que se lhe conceda qualquer margem de descrição na matéria: ao declarar os efeitos, tem de cingir-se o órgão judicial estritamente ao que a lei estabelece'', - No caso de ação de despejo por falta de pagamento, ao contrário do afirmado pelo impetrante, cabe apenas o efeito devolutivo, havendo dispositivo expresso da Lei 6.071, de 03-07-74, art. 6º, que diz: "A apelação, nas ações de despejo fundadas na Lei 4.494, de 21-11-64, será recebida só no efeito devolutivo". - Logo sem nenhuma razão quanto à modificação do despacho e o efeito imprimido à apelação. - .............................................................. - Por tudo isso, nega-se acolhida ao "writ". Julgado em 12-12-1978 Revista dos Tribunais. Junho, 1979 - Vol. 524 - Pág. 162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juiz ter reformado seu despacho anterior, que recebera a apelação no duplo efeito, não significa inovar no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2026-06-17T14:15:43.150Z</dcterms:created>
  <dcterms:modified xsi:type="dcterms:W3CDTF">2026-06-17T14:15:43.150Z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