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86.813-</w:t>
      </w:r>
    </w:p>
    <w:p>
      <w:r>
        <w:rPr>
          <w:b/>
          <w:bCs/>
        </w:rPr>
        <w:t xml:space="preserve">Julgado em: </w:t>
      </w:r>
      <w:r>
        <w:t xml:space="preserve">10/05/1979</w:t>
      </w:r>
    </w:p>
    <w:p/>
    <w:p>
      <w:r>
        <w:t xml:space="preserve">QUAL O A SER CONSIDERADO PARA O EFEITO DA ALÇADA FIXADA NO REGISTRO INTERNO DO STF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autores atribuíram à causa o valor de Cr$ 20.000,00 à alçada regimental. Tal valor não foi retificado pelo juiz, por inexato ou desobediente aos critérios legais, razão por que, para efeito da alçada regimental, é o que deve ser levado em consideração, e não aquele que aos bens objeto da ação poderia ser atribuído. - Assim, efetivamente, se decidiu no RE nº 86.813-SP - relatado pelo eminente Min. CUNHA PEIXOTO, DJ 26-03-79, pág. 2.815.(*) - No mesmo sentido, já se pronunciou esta Turma em dois acórdãos por mim relatados. AgRg 69.831-RJ, de 03-06-77, portanto, já na vigência da Emenda Regimental 3/75; e AgRg 64.109-RJ, de 12-08-75, este assim ementado: "Agravo Regimental improvido, o valor real dos bens objeto da ação, não pode prevalecer para o fim do art. 308, IV, do RI, quando o valor dado à causa, sem impugnação do interessado é inferior à alçada regimental e inocorrem as exceções previstas no "caput" do art. 308 do RI." - Tal entendimento foi confirmado pela 1ª Turma - AgRg 71.288-SP, relator o eminente Min. BILAC PINTO - RTJ 85/854. - Na espécie, nenhum tema constitucional foi aflorado, e a argüição de relevância foi rejeitada. - Não conheço, pois, do recurso, acolhendo os termos de parecer da douta Procuradoria Geral da República. Julgado em 11-05-1979 Revista Trimestral de Jurisprudência. Novembro, 1979 - Vol. 90 - Pág. 668 (*) In "EMENTÁRIO FORENSE", Nº 361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valor dos bens objeto da ação, não pode prevalecer para o fim do art. 308, IV, do RI, quando o valor dado à causa, sem impugnação do interessado, é inferior à alçada regimental e inocorrem as exceções previstas no "caput" do art. 308 do RI.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2026-06-17T14:15:41.296Z</dcterms:created>
  <dcterms:modified xsi:type="dcterms:W3CDTF">2026-06-17T14:15:41.296Z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