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 88.742-</w:t>
      </w:r>
    </w:p>
    <w:p>
      <w:r>
        <w:rPr>
          <w:b/>
          <w:bCs/>
        </w:rPr>
        <w:t xml:space="preserve">Julgado em: </w:t>
      </w:r>
      <w:r>
        <w:t xml:space="preserve">08/10/1979</w:t>
      </w:r>
    </w:p>
    <w:p/>
    <w:p>
      <w:r>
        <w:t xml:space="preserve">IMÓVEL RURAL — EXPROPRIAÇÃO POR UTILIDADE PÚBLICA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razão à Recorrente ao intentar a via recursal pelo permissivo constitucional do art. 119, III, "a". É que resultaram malferidos os incisos constitucionais invocados, não havendo dúvida do seu prequestionamento no acórdão recorrido. O que o art. 161, §§ 2º e 4º reserva à competência da União é a desapropriação por interesse social e para fins de reforma agrária dos imóveis rurais, inclusos nas zonas por ela declaradas prioritárias. - Entretanto, a desapropriação por utilidade pública de imóveis rurais se exclui da incidência desse dispositivo constitucional, facultada a entes públicos diversos da União, tais como Estados e Municípios ainda que se trate de imóveis rurais, uma vez observadas as cláusulas legais. - O direito do poder público de expropriar, por necessidade ou utilidade pública, como não podia deixar de ser, tem cunho constitucional, estabelecido no art. 153 § 22, a que empresta exequibilidade o Decreto-lei nº 3.365/41, que legitima, nos seus preceitos a expropriabilidade dos bens em geral, concorrentemente, pela União, Estados e Municípios, inclusive propriedades rurais se configurada utilidade pública. - Num alcance jurídico bem mais amplo do que o questionado, esta Turma considerou legítima a desapropriação por utilidade pública de imóvel rural destinado à implantação de distrito industrial, na conformidade de voto do eminente Ministro XAVIER DE ALBUQUERQUE, no RE nº 88.742-MG, proferido em 22-05-79. - Aplicar mal o dispositivo constitucional, alargando-o ou restringindo-o indebitamente, é negar-lhe à vigência legítima. Assim ocorre com a aplicação despropositada e deslocada do art. 161, § 2º, da Constituição, à espécie que nele não se subsume, resultando essa extr apolação interpretativa em negar vigência, lógica e necessariamente, do outro inciso constitucional donde deflui a competência legal para a desapropriação intentada pelo Município. - Assim conheço e dou provimento para cassar a segurança, a fim de que tenha curso, na forma da lei, o processo expropriatório instaurado, validados os atos nele praticados. Julgado em 09-10-1979 Revista Trimestral de Jurisprudência. Maio, 1980 - Vol. 92 - Pág. 929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município para expropriar imóveis rurais, por utilidade pública, segundo o estabelecido no art. 153, § 22, da Constituição, a que empresta exeqüibilidade o Decreto-lei 3.365/41.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2026-07-28T04:00:47.843Z</dcterms:created>
  <dcterms:modified xsi:type="dcterms:W3CDTF">2026-07-28T04:00:47.843Z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