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Julgado em: </w:t>
      </w:r>
      <w:r>
        <w:t xml:space="preserve">23/04/1979</w:t>
      </w:r>
    </w:p>
    <w:p/>
    <w:p>
      <w:r>
        <w:t xml:space="preserve">POSSIBILIDADE, EM SENDO ADVOGADO, POSTULAR EM DEFESA DA MASSA — DIREITO A HONORÁRIOS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síndico como advogado (e não apenas como síndico) é terceiro em relação à massa - hipótese, aliás, perfeitamente compreensível, correta e jurídica, uma vez que, na lúcida observação de MACEDO "pode muito bem uma pessoa fazer as vezes de duas a diversos respeitos" (apud BENATO DE FARIA, "Processo Comercial e Civil", nº 203). - A propósito, tão normal é o entendimento de que é possível uma pessoa fazer vezes de duas pessoas a diversos respeitos, que isso mesmo inscreveu o legislador no Código de Processo Civil, art. 1.046, §§ 2º e 3º, equiparando a terceiro a própria parte em determinadas circunstâncias. - Em conclusão, estou em que dúvida não há de que o síndico, em sendo ele advogado, poderá postular nas ações em que a massa for autora, ré ou litisconsorte, ao invés de contratar os serviços de um colega, pelo que lícito lhe será requerer ao Juiz, previamente o arbitramento de seus horários para a final, cobrá-los da massa como dívida desta. - Dou pois, provimento,(...). Julgado em 24-04-1979 BIBLIOGRAFIA CITADA: MIRANDA VALVERDE "Comentários à Lei de Falências", vol. I, nº 444-bis, pág. 440 Jurisprudência Mineira, Abril a Junho, 1979 - Vol. 74 - Pág. 53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síndico em sendo advogado, poderá postular nas ações em que a massa for autora, ré ou litisconsorte, ao invés de contratar os serviços de um colega, pelo que lícito lhe será requerer ao Juiz, previamente, o arbitramento de seus honorários para, a final, cobrá-los da massa como dívida desta.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2026-07-28T00:24:36.914Z</dcterms:created>
  <dcterms:modified xsi:type="dcterms:W3CDTF">2026-07-28T00:24:36.914Z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