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EXAURIMENTO DA VIA ADMINISTRATIVA</w:t>
      </w:r>
    </w:p>
    <w:p/>
    <w:p>
      <w:r>
        <w:rPr>
          <w:b/>
          <w:bCs/>
        </w:rPr>
        <w:t xml:space="preserve">Julgado em: </w:t>
      </w:r>
      <w:r>
        <w:t xml:space="preserve">26/07/1977</w:t>
      </w:r>
    </w:p>
    <w:p/>
    <w:p>
      <w:r>
        <w:t xml:space="preserve">SOCIEDADE PARA PRESTAÇÃO — ALÍQUOTA FIXA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ISS é regulado, em suas linhas mestras, pela legislação federal; a lei municipal não poderá contrariá-la, mas apenas completá-la. - Nos termos do art. 9º, § 1º, do Dec.-lei nº 406/68, "quando se tratar de prestação de serviços sob a forma de trabalho pessoal do próprio contribuinte, o imposto será calculado, por meio de alíquotas fixas ou variáveis, em função da natureza do serviço ou de outros fatores pertinentes..." E o art. 9º, § 3º (com a redação dada pelo Dec.-lei 834/69), dispõe: "Quando os serviços a que se referem os itens... da lista anexa forem prestados por sociedade, estas ficarão sujeitas ao imposto na forma do § 1º calculado em relação a cada profissional habilitado, sócio, empregado ou não, que preste serviço em nome da sociedade..." Entre os itens aí enumerados está o de nº 12: "contadores, auditores, guarda-livros e técnicos em contabilidade". - Ora, a autora é composta de dois sócios, ambos técnicos em contabilidade, e o objeto da sociedade é a prestação de serviços contábeis e outros que se assemelham. Não se demonstrou que sejam prestados outros serviços, além desses. Nessas condições, o ISS lançado à autora não podia ter por base o seu movimento financeiro, mas uma alíquota fixa. Outrossim, pouco importa o número de empregados da autora; a lei federal não estabelece esse requisito para o critério no lançamento do ISS. - Assim sendo, fica acolhida a ação e anulados os lançamentos municipais questionados, relativos aos exercícios de 1971 e 1972. Em conseqüência ficam invertidos os ônus da sucumbência. Julgado em 27-07-1977 Revista dos Tribunais. Junho, 1979 - Vol. 524 - Pág. 126 EMFOR 388 EMENTA: - Inteligência do art. 394 do Código de Processo Civil. - Descabe incidente de falsidade quando a ação de execução já findou, com trânsito em julgado da sentença. RESUMO DO ACÓRDÃO: - ... O agravante pretende seja processado o incidente de falsidade, com base no art. 393 do CPC, que o autoriza depois de encerrada a instrução. - Verifica-se porém, que já foi proferida sentença que julgou procedente a ação executiva hipotecária em 27-05-70, a qual foi confirmada pela E. 8ª Câmara do Tribunal de Alçada Civil. - O incidente de falsidade deve ser requerido antes que a causa principal seja definitivamente julgada. - O art. 394 do CPC determina a suspensão do processo principal logo que for suscitado o incidente de falsidade. Subentende-se que a causa principal ainda não foi julgada ou em primeiro grau ou em segundo grau. Decorre do disposto nesse artigo que a causa principal ainda não deve ter sido julgada definitivamente. No caso dos autos, porém, a ação de execução já foi julgada, com trânsito em julgado. Incabível, pois, nesta oportunidade pretender o incidente de falsidade. - Negado provimento ao agravo. Julgado em 06-09-1978 Revista dos Tribunais. Junho, 1979 - Vol. 524 - Pág. 139 EMFOR 388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sociedade para a prestação de serviços contábeis, o ISS deve ter alíquota fixa.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2026-10-26T04:34:10.794Z</dcterms:created>
  <dcterms:modified xsi:type="dcterms:W3CDTF">2026-10-26T04:34:10.794Z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