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Recurso: </w:t>
      </w:r>
      <w:r>
        <w:t xml:space="preserve">Ap. 271.182</w:t>
      </w:r>
    </w:p>
    <w:p>
      <w:r>
        <w:rPr>
          <w:b/>
          <w:bCs/>
        </w:rPr>
        <w:t xml:space="preserve">Julgado em: </w:t>
      </w:r>
      <w:r>
        <w:t xml:space="preserve">07/01/1979</w:t>
      </w:r>
    </w:p>
    <w:p/>
    <w:p>
      <w:r>
        <w:t xml:space="preserve">EXIGÊNCIA DE TRIBUTOS — EFEITOS - SE SUBSTITUI O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Consoante o demonstrou a r. sentença recorrida, lastreada em pronunciamentos normativos da Corregedoria Geral da Justiça, a hipótese é de loteamento clandestino, cuja regularização é pressuposto necessário do registro perseguido. - O fato de a Municipalidade ter aprovado o loteamento e a construção, entrando a exigir tributos e a inserir as artérias projetadas na planta genérica de valores, não substitui o registro do loteamento nem produz suas conseqüências jurídicas de especificação e incorporação das áreas, reservadas ao sistema viário, ao patrimônio público. Ao agasalho da pretensão fora indispensável o registro prévio das mutações objetivas e subjetivas da coisa ou corpo originário, enquanto conjunto de referências e pressupostos de admissibilidade de matrícula autônoma dos lotes prefigurados. Como já acentuou este Conselho, "noutras palavras, se não procedeu ao registro da transmissão ou incorporação de áreas precisas e individuadas ao patrimônio público, não há como reconhecer a existência jurídica desses dados, como ponto de individuação e caracterização de lotes. Não há ruas com que pudessem dividir e confrontar as unidades de fracionamento e, por isto mesmo, nem se cogita de autonomia e independência destas, enquanto a identificação de cada qual pressupõe existência de vias públicas que as separem e estremem. Impensável é lote 1, situado na R. Dois, se R. Dois não se concebe!" (Ap. 271.182). - Nem se desenha desmembramento. - Por que se configurasse esta espécie de parcelamento urbano cumpria preexistisse sistema viário oficial, que não adv ém àquelas providências administrativas destinadas a concretizar exigibilidade de tributos. A oficialização de logradouros públicos só se opera por via de decreto (art. 39, XVIII e XIX, do Dec.-lei Complementar estadual 9, de 31-12-69) e, para fundamentar averbação de que trata do art. 167, II, nº 13, da Lei 6.015, de 31-12-73, "reclama certidão de sua perfeita localização... Sem isto, não há como averbar a abertura de rua, pois, não se sabendo que imóvel ela atingiu e que registros ela alterou, não há como orientar-se o oficial nas suas anotações" (Ap. 257.298 e 264.199). - Negado provimento ao recurso, para confirmar a r. sentença apelada por seus próprios e jurídicos fundamentos. ... . Julgado em 08-01-1979 Revista dos Tribunais. Maio, 1979 - Vol. 523 - Pág. 118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haver a Prefeitura aprovado o loteamento e a construção, entrando a exigir tributos e a inserir as artérias projetadas na planta genérica de valores, não substitui o registro do loteamento nem produz suas conseqüências jurídicas de especificação e incorporação das áreas, reservadas ao sistema viário, ao patrimônio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2026-07-28T00:34:08.973Z</dcterms:created>
  <dcterms:modified xsi:type="dcterms:W3CDTF">2026-07-28T00:34:08.973Z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