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LOCAÇÃO COMERCIAL</w:t>
      </w:r>
    </w:p>
    <w:p>
      <w:r>
        <w:rPr>
          <w:i/>
          <w:iCs/>
          <w:color w:val="666666"/>
        </w:rPr>
        <w:t xml:space="preserve">RETOMADA PARA USO DE SOCIEDADE</w:t>
      </w:r>
    </w:p>
    <w:p/>
    <w:p>
      <w:r>
        <w:rPr>
          <w:b/>
          <w:bCs/>
        </w:rPr>
        <w:t xml:space="preserve">Recurso: </w:t>
      </w:r>
      <w:r>
        <w:t xml:space="preserve">Ap. 271.182</w:t>
      </w:r>
    </w:p>
    <w:p>
      <w:r>
        <w:rPr>
          <w:b/>
          <w:bCs/>
        </w:rPr>
        <w:t xml:space="preserve">Julgado em: </w:t>
      </w:r>
      <w:r>
        <w:t xml:space="preserve">07/01/1979</w:t>
      </w:r>
    </w:p>
    <w:p/>
    <w:p>
      <w:r>
        <w:t xml:space="preserve">EXIGÊNCIA DE TRIBUTOS — EFEITOS - SE SUBSTITUI O REGISTRO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Consoante o demonstrou a r. sentença recorrida, lastreada em pronunciamentos normativos da Corregedoria Geral da Justiça, a hipótese é de loteamento clandestino, cuja regularização é pressuposto necessário do registro perseguido. - O fato de a Municipalidade ter aprovado o loteamento e a construção, entrando a exigir tributos e a inserir as artérias projetadas na planta genérica de valores, não substitui o registro do loteamento nem produz suas conseqüências jurídicas de especificação e incorporação das áreas, reservadas ao sistema viário, ao patrimônio público. Ao agasalho da pretensão fora indispensável o registro prévio das mutações objetivas e subjetivas da coisa ou corpo originário, enquanto conjunto de referências e pressupostos de admissibilidade de matrícula autônoma dos lotes prefigurados. Como já acentuou este Conselho, "noutras palavras, se não procedeu ao registro da transmissão ou incorporação de áreas precisas e individuadas ao patrimônio público, não há como reconhecer a existência jurídica desses dados, como ponto de individuação e caracterização de lotes. Não há ruas com que pudessem dividir e confrontar as unidades de fracionamento e, por isto mesmo, nem se cogita de autonomia e independência destas, enquanto a identificação de cada qual pressupõe existência de vias públicas que as separem e estremem. Impensável é lote 1, situado na R. Dois, se R. Dois não se concebe!" (Ap. 271.182). - Nem se desenha desmembramento. - Por que se configurasse esta espécie de parcelamento urbano cumpria preexistisse sistema viário oficial, que não adv ém àquelas providências administrativas destinadas a concretizar exigibilidade de tributos. A oficialização de logradouros públicos só se opera por via de decreto (art. 39, XVIII e XIX, do Dec.-lei Complementar estadual 9, de 31-12-69) e, para fundamentar averbação de que trata do art. 167, II, nº 13, da Lei 6.015, de 31-12-73, "reclama certidão de sua perfeita localização... Sem isto, não há como averbar a abertura de rua, pois, não se sabendo que imóvel ela atingiu e que registros ela alterou, não há como orientar-se o oficial nas suas anotações" (Ap. 257.298 e 264.199). - Negado provimento ao recurso, para confirmar a r. sentença apelada por seus próprios e jurídicos fundamentos. ... . Julgado em 08-01-1979 Revista dos Tribunais. Maio, 1979 - Vol. 523 - Pág. 118 EMFOR 388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haver a Prefeitura aprovado o loteamento e a construção, entrando a exigir tributos e a inserir as artérias projetadas na planta genérica de valores, não substitui o registro do loteamento nem produz suas conseqüências jurídicas de especificação e incorporação das áreas, reservadas ao sistema viário, ao patrimônio público.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2026-10-26T04:40:35.533Z</dcterms:created>
  <dcterms:modified xsi:type="dcterms:W3CDTF">2026-10-26T04:40:35.533Z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