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LOCAÇÃO COMERCIAL</w:t>
      </w:r>
    </w:p>
    <w:p>
      <w:r>
        <w:rPr>
          <w:i/>
          <w:iCs/>
          <w:color w:val="666666"/>
        </w:rPr>
        <w:t xml:space="preserve">RETOMADA PARA USO DE SOCIEDADE</w:t>
      </w:r>
    </w:p>
    <w:p/>
    <w:p>
      <w:r>
        <w:rPr>
          <w:b/>
          <w:bCs/>
        </w:rPr>
        <w:t xml:space="preserve">Julgado em: </w:t>
      </w:r>
      <w:r>
        <w:t xml:space="preserve">03/12/1979</w:t>
      </w:r>
    </w:p>
    <w:p/>
    <w:p>
      <w:r>
        <w:t xml:space="preserve">SE NO PRIVILÉGIO SE INCLUEM SOCIEDADES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ora apelante ofereceu embargos à execução, sob fundamento de que lhe foram penhorados bens de valor superior ao débito e que a penhora incidiu sobre móveis e utensílios imprescindíveis às suas atividades industriais e comerciais, o que é proibido pelo art. 649, IV, do Código de Processo Civil. - Os embargos foram liminarmente indeferidos de vez que excesso de penhora não se confunde com excesso de execução. - No recurso, alega o embargante que houve equívoco do Dr. Juiz "a quo", pois o verdadeiro fundamento dos embargos foi a impenhorabilidade dos bens sujeitos ao ato de constrição judicial, pois imprescindíveis às suas atividades industriais e comerciais. - Sem razão a apelante. - A impenhorabilidade que o Código assegura é privilégio daqueles que vivem do trabalho pessoal próprio, não se incluindo nela sociedade comercial. Julgado em 04-12-1979 Arquivo do Ementário Forense, TA/302 EMFOR 388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impenhorabilidade de bens, necessários ou úteis ao exercício de profissão é privilégio apenas daqueles que vivem do trabalho pessoal próprio, não se incluindo nele sociedade comercial.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2026-10-26T03:25:54.536Z</dcterms:created>
  <dcterms:modified xsi:type="dcterms:W3CDTF">2026-10-26T03:25:54.536Z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