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FAIXA DE FRONTEIRA</w:t>
      </w:r>
    </w:p>
    <w:p>
      <w:r>
        <w:rPr>
          <w:i/>
          <w:iCs/>
          <w:color w:val="666666"/>
        </w:rPr>
        <w:t xml:space="preserve">AÇÃO POSSESSÓRIA ENTRE PARTICULARES</w:t>
      </w:r>
    </w:p>
    <w:p/>
    <w:p>
      <w:r>
        <w:rPr>
          <w:b/>
          <w:bCs/>
        </w:rPr>
        <w:t xml:space="preserve">Recurso: </w:t>
      </w:r>
      <w:r>
        <w:t xml:space="preserve">recurso especial .</w:t>
      </w:r>
    </w:p>
    <w:p/>
    <w:p>
      <w:r>
        <w:t xml:space="preserve">PROCESSAMENTO DE RECURSOS NO ÂMBITO DOS TRIBUNAIS — DISPÕE SOBRE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n° 9.756, de 17 de dezembro de 1998 Dispõe sobre o processamento de recursos no âmbito dos tribunais. O Presidente da República Faço saber que o Congresso Nacional decreta e eu sanciono a seguinte Lei: Art. 1° A Lei n° 5.869, de 11 de janeiro de 1973 - Código de Processo Civil, passa a vigorar com as seguintes alterações: "Art. 120. .................................................................... Parágrafo único. Havendo jurisprudência dominante do tribunal sobre a questão suscitada, o relator poderá decidir de plano o conflito de competência, cabendo agravo. no prazo de cinco dias, contado da intimação da decisão às partes, para o órgão recursal competente." "Art. 481. .................................................................... Parágrafo único. Os órgãos fracionários dos tribunais não submeterão ao plenário ou ao órgão especial, a arguição de inconstitucionalidade, quando já houver pronunciamento destes ou do plenário do Supremo Tribuna Federal sobre a questão." "Art. 511. No ato de interposição do recurso, o recorrente comprovará, quando exigido pela legislação pertinente, o respectivo preparo, inclusive porte de remessa e de retorno, sob pena de deserção." (NR) "§ 1° São dispensados de preparo os recursos interpostos pelo Ministério Público, pela União, pelos Estados e Municípios e respectivas autarquias, e pelos que gozam de isenção legal. § 2° A insuficiência no valor do preparo implicará deserção, se o recorrente, intimado, não vier a supri-lo no prazo de cinco dias " "Art. 542. .................................................................... § 3° O recurso extraordinário, ou o recurso especial, quando interposto contra decisão interlocutória em processo de conhecimento, cautelar, ou embargos a execução será retido nos autos e somente será processado se o reiterar a parte, no prazo para a interposiçã o do recurso contra a decisão final, ou para as contra-razões" "Art. 544. .................................................................... § 3° Poderá o relator, se o acórdão recorrido estiver em confronto com a súmula ou jurisprudência dominante do Superior Tribunal de Justiça, conhecer do agravo para dar provimento ao próprio recurso especial; poderá ainda, se o instrumento contiver os elementos necessários ao julgamento do mérito, determinar sua conversão, observando-se, daí em diante, o procedimento relativo ao recurso especial." (NR) .................................................................... "Art. 545. Da decisão do relator que não admitir o agravo de instrumento, negar-lhe provimento ou reformar o acórdão recorrido, caberá agravo no prazo de cinco dias, ao órgão competente para o julgamento do recurso, observado o disposto nos §§ 2° e 3° do art. 557" (NR) "Art 557. O relator negará seguimento a recurso manifestamente inadmissível, improcedente, prejudicado ou em confronto com súmula ou com jurisprudência dominante do respectivo tribunal, do Supremo Tribunal Federal ou de Tribunal Superior " (NR) "§ 1°-A Se a decisão recorrida estiver em manifesto confronto com súmula ou com jurisprudência dominante do Supremo Tribunal Federal, ou de Tribunal Superior, o relator poderá dar provimento ao recurso." "§ 1° Da decisão caberá agravo, no prazo de cinco dias, ao órgão competente para o julgamento do recurso, e, se não houver retratação, o relator apresentará o processo em mesa, proferindo voto; provido o agravo, o recurso terá seguimento " (NR) "§ 2° Quando manifestamente inadmissível ou infundado o agravo, o tribunal condenará o agravante a pagar ao agravado multa entre um e dez por cento do valor corrigido da causa, ficando a interposição de qualquer outro recurso condicionada ao depósito do respectivo valor." Art. 2° Os arts. 896 e 897 do Decreto-lei n° 5.452, de 19 de maio de 1943 - Consolidação das Leis do Trabalho passam a vigorar com a seguinte redação: "Art. 896. Cabe Recurso de Revista para Turma do Tribunal Superior do Trabalho das decisões proferidas em grau de recurso ordinário, em dissídio individual, pelos Tribunais Regionais do Trabalho, quando: a) derem ao mesmo dispositivo de lei federal interpretação diversa da que lhe houver dado outro Tribunal Regional, no seu Pleno ou Turma, ou a Seção de Dissídios Individuais do Tribunal Superior do Trabalho, ou a Súmula de Jurisprudência Uniforme desta Corte. b) derem ao mesmo dispositivo de lei estadual, Convenção Coletiva de Trabalho, Acordo Coletivo, sentença normativa ou regulamento empresarial de observância obrigatória em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2026-10-26T03:40:33.720Z</dcterms:created>
  <dcterms:modified xsi:type="dcterms:W3CDTF">2026-10-26T03:40:33.720Z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