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/>
    <w:p>
      <w:r>
        <w:t xml:space="preserve">PROCESSAMENTO DE RECURSOS NO ÂMBITO DOS TRIBUNAIS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9.756, de 17 de dezembro de 1998 Dispõe sobre o processamento de recursos no âmbito dos tribunais. O Presidente da República Faço saber que o Congresso Nacional decreta e eu sanciono a seguinte Lei: Art. 1° A Lei n° 5.869, de 11 de janeiro de 1973 - Código de Processo Civil, passa a vigorar com as seguintes alterações: "Art. 120. .................................................................... Parágrafo único. Havendo jurisprudência dominante do tribunal sobre a questão suscitada, o relator poderá decidir de plano o conflito de competência, cabendo agravo. no prazo de cinco dias, contado da intimação da decisão às partes, para o órgão recursal competente." "Art. 481. .................................................................... Parágrafo único. Os órgãos fracionários dos tribunais não submeterão ao plenário ou ao órgão especial, a arguição de inconstitucionalidade, quando já houver pronunciamento destes ou do plenário do Supremo Tribuna Federal sobre a questão." "Art. 511. No ato de interposição do recurso, o recorrente comprovará, quando exigido pela legislação pertinente, o respectivo preparo, inclusive porte de remessa e de retorno, sob pena de deserção." (NR) "§ 1° São dispensados de preparo os recursos interpostos pelo Ministério Público, pela União, pelos Estados e Municípios e respectivas autarquias, e pelos que gozam de isenção legal. § 2° A insuficiência no valor do preparo implicará deserção, se o recorrente, intimado, não vier a supri-lo no prazo de cinco dias " "Art. 542. .................................................................... § 3° O recurso extraordinário, ou o recurso especial, quando interposto contra decisão interlocutória em processo de conhecimento, cautelar, ou embargos a execução será retido nos autos e somente será processado se o reiterar a parte, no prazo para a interposiçã o do recurso contra a decisão final, ou para as contra-razões" "Art. 544. .................................................................... § 3° Poderá o relator, se o acórdão recorrido estiver em confronto com a súmula ou jurisprudência dominante do Superior Tribunal de Justiça, conhecer do agravo para dar provimento ao próprio recurso especial; poderá ainda, se o instrumento contiver os elementos necessários ao julgamento do mérito, determinar sua conversão, observando-se, daí em diante, o procedimento relativo ao recurso especial." (NR) .................................................................... "Art. 545. Da decisão do relator que não admitir o agravo de instrumento, negar-lhe provimento ou reformar o acórdão recorrido, caberá agravo no prazo de cinco dias, ao órgão competente para o julgamento do recurso, observado o disposto nos §§ 2° e 3° do art. 557" (NR) "Art 557. O relator negará seguimento a recurso manifestamente inadmissível, improcedente, prejudicado ou em confronto com súmula ou com jurisprudência dominante do respectivo tribunal, do Supremo Tribunal Federal ou de Tribunal Superior " (NR) "§ 1°-A Se a decisão recorrida estiver em manifesto confronto com súmula ou com jurisprudência dominante do Supremo Tribunal Federal, ou de Tribunal Superior, o relator poderá dar provimento ao recurso." "§ 1° Da decisão caberá agravo, no prazo de cinco dias, ao órgão competente para o julgamento do recurso, e, se não houver retratação, o relator apresentará o processo em mesa, proferindo voto; provido o agravo, o recurso terá seguimento " (NR) "§ 2° Quando manifestamente inadmissível ou infundado o agravo, o tribunal condenará o agravante a pagar ao agravado multa entre um e dez por cento do valor corrigido da causa, ficando a interposição de qualquer outro recurso condicionada ao depósito do respectivo valor." Art. 2° Os arts. 896 e 897 do Decreto-lei n° 5.452, de 19 de maio de 1943 - Consolidação das Leis do Trabalho passam a vigorar com a seguinte redação: "Art. 896. Cabe Recurso de Revista para Turma do Tribunal Superior do Trabalho das decisões proferidas em grau de recurso ordinário, em dissídio individual, pelos Tribunais Regionais do Trabalho, quando: a) derem ao mesmo dispositivo de lei federal interpretação diversa da que lhe houver dado outro Tribunal Regional, no seu Pleno ou Turma, ou a Seção de Dissídios Individuais do Tribunal Superior do Trabalho, ou a Súmula de Jurisprudência Uniforme desta Corte. b) derem ao mesmo dispositivo de lei estadual, Convenção Coletiva de Trabalho, Acordo Coletivo, sentença normativa ou regulamento empresarial de observância obrigatória em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2026-09-10T22:39:49.705Z</dcterms:created>
  <dcterms:modified xsi:type="dcterms:W3CDTF">2026-09-10T22:39:49.705Z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