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SOCIEDADE</w:t>
      </w:r>
    </w:p>
    <w:p/>
    <w:p>
      <w:r>
        <w:rPr>
          <w:b/>
          <w:bCs/>
        </w:rPr>
        <w:t xml:space="preserve">Julgado em: </w:t>
      </w:r>
      <w:r>
        <w:t xml:space="preserve">08/08/1979</w:t>
      </w:r>
    </w:p>
    <w:p/>
    <w:p>
      <w:r>
        <w:t xml:space="preserve">RETOMADA PARA USO PRÓPRIO — QUANDO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Da decisão que julgou procedente ação de despejo fundada no art. 11, inc. X, da Lei ... 4.494/64..., apela o locatário, insurgindo-se contra a dispensa de notificação preliminar e contra a não aplicação do Decreto-lei nº 1.534/77 e, no mérito, sustentando que o autor não fez prova da necessidade do pedido... - Não há, porém, por que prover o recurso. - Desde o advento do Decreto-lei nº 890, de 1969, que as retomadas do art. 11 da Lei 4.494/64 podem ser ajuizadas sem notificação preambular. - A alegação de que se deveria observar o disposto no Decreto-lei nº 1.534/77 é destituída de razão, eis que a alínea "A" do parágrafo 3º do art. 1º do aludido decreto-lei exclui da observância do prazo previsto no § 1º do seu artigo 1º as retomadas da Lei do Inquilinato Residencial. - Finalmente, a assertiva de que não se faz prova da necessidade é despicienda, uma vez que, no caso, presume-se a sinceridade do pedido. Julgado em 09-08-1979 Arquivo do Ementário Forense, TA/293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reformas previstas no art. 11 independem de prévia notificação e não estão subordinadas ao prazo do parágrafo 1º do art. 1º do Decreto-lei nº 1.534, de 1977.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2026-07-28T00:20:45.358Z</dcterms:created>
  <dcterms:modified xsi:type="dcterms:W3CDTF">2026-07-28T00:20:45.358Z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