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SOCIEDADE</w:t>
      </w:r>
    </w:p>
    <w:p/>
    <w:p>
      <w:r>
        <w:rPr>
          <w:b/>
          <w:bCs/>
        </w:rPr>
        <w:t xml:space="preserve">Julgado em: </w:t>
      </w:r>
      <w:r>
        <w:t xml:space="preserve">13/08/1980</w:t>
      </w:r>
    </w:p>
    <w:p/>
    <w:p>
      <w:r>
        <w:t xml:space="preserve">COMUNHÃO DOS AQUESTOS — QUANDO JUSTIFICA A NOMEAÇÃO PARA O CARGO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comunhão dos aquestos corresponde ao tratamento que a lei civil confere ao regime da comunhão parcial (Cód. Civil, art. 271, I) e este legitima o cônjuge sobrevivente à inventariança dos bens deixados pelo morto (CPC, art. 990, I). - Não se trata de "remoção", com a conotação punitiva do art. 995, mas de situação sobrevinda - o ulterior reconhecimento judicial da comunhão dos adquiridos - ante a qual se impunha a recondução da viúva. Julgado em 14-08-1980 Arquivo do Ementário Forense, TJ/907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comunhão dos aquestos, judicialmente reconhecida, justifica a nomeação do cônjuge supérstite para a inventariança dos bens deixados pelo morto.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2026-10-26T03:00:17.077Z</dcterms:created>
  <dcterms:modified xsi:type="dcterms:W3CDTF">2026-10-26T03:00:17.077Z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