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SOCIEDADE</w:t>
      </w:r>
    </w:p>
    <w:p/>
    <w:p>
      <w:r>
        <w:rPr>
          <w:b/>
          <w:bCs/>
        </w:rPr>
        <w:t xml:space="preserve">Julgado em: </w:t>
      </w:r>
      <w:r>
        <w:t xml:space="preserve">13/08/1980</w:t>
      </w:r>
    </w:p>
    <w:p/>
    <w:p>
      <w:r>
        <w:t xml:space="preserve">COMUNHÃO DOS AQUESTOS — QUANDO JUSTIFICA A NOMEAÇÃO PARA O CARGO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comunhão dos aquestos corresponde ao tratamento que a lei civil confere ao regime da comunhão parcial (Cód. Civil, art. 271, I) e este legitima o cônjuge sobrevivente à inventariança dos bens deixados pelo morto (CPC, art. 990, I). - Não se trata de "remoção", com a conotação punitiva do art. 995, mas de situação sobrevinda - o ulterior reconhecimento judicial da comunhão dos adquiridos - ante a qual se impunha a recondução da viúva. Julgado em 14-08-1980 Arquivo do Ementário Forense, TJ/907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comunhão dos aquestos, judicialmente reconhecida, justifica a nomeação do cônjuge supérstite para a inventariança dos bens deixados pelo morto.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2026-07-28T06:33:14.705Z</dcterms:created>
  <dcterms:modified xsi:type="dcterms:W3CDTF">2026-07-28T06:33:14.705Z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