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SDE Nº 4 DE 13-03-1998</w:t>
      </w:r>
    </w:p>
    <w:p/>
    <w:p>
      <w:r>
        <w:rPr>
          <w:b/>
          <w:bCs/>
        </w:rPr>
        <w:t xml:space="preserve">Julgado em: </w:t>
      </w:r>
      <w:r>
        <w:t xml:space="preserve">05/05/1980</w:t>
      </w:r>
    </w:p>
    <w:p/>
    <w:p>
      <w:r>
        <w:t xml:space="preserve">PENSÃO DEVIDA — FIXAÇÃO SEGUNDO O SALÁRIO MÍNIMO - SE OFENDE 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Ora, no laudo acolhido pelo venerando acórdão exequendo, o critério dos cálculos das prestações devidas, baseia-se precisamente na SÚMULA 490 (*) do Supremo Tribunal Federal, "verbis": "A pensão correspondente a indenização oriunda de responsabilidade civil deve ser calculada com base no salário mínimo vigente ao tempo da sentença e ajustar-se às variações posteriores." - Na fase cognitiva da ação ficou decidido a correção de acordo com as variações do salário mínimo. Na execução não se pode restringir o julgado, nem mesmo sob o argumento de ser defeso pela Lei nº 6.205, de 1975. - O caso é de responsabilidade civil por ato ilícito. E o egrégio Supremo Tribunal Federal tem decidido: "Responsabilidade civil. O levar-se em consideração o salário mínimo para fixar a indenização do dano decorrente de ato ilícito não ofende a Lei 6.205, de 1975." (In "R.T.J.", vol. 80/279, R.E. 85.384 R.J. - Relator Ministro MOREIRA ALVES) - A lei veda o salário mínimo apenas para o mundo dos negócios, como expôs o Relator, não alcançando pensões vencidas e vincendas, dado o seu caráter alimentar... Julgado em 06-05-1980 Arquivo do Ementário Forense, TJ/887 (*) "A pensão correspondente à indenização oriunda de responsabilidade civil, deve ser calculada com base no salário mínimo vigente ao tempo da sentença e ajustar-se às variações ulteriores." ("E.F.", Nº 255) EMFOR 389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Decisão que vincula o pagamento das prestações ao salário mínimo torna-se imutável na execução e não ofende as disposições da Lei nº 6.205, de 1975.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2026-06-17T14:19:52.183Z</dcterms:created>
  <dcterms:modified xsi:type="dcterms:W3CDTF">2026-06-17T14:19:52.183Z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