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PORTARIA SDE Nº 4 DE 13-03-1998</w:t>
      </w:r>
    </w:p>
    <w:p/>
    <w:p/>
    <w:p>
      <w:r>
        <w:t xml:space="preserve">01. REFORMA DA TARIFA DAS ALFÂNDEGAS</w:t>
      </w:r>
    </w:p>
    <w:p/>
    <w:p>
      <w:pPr>
        <w:pStyle w:val="Heading2"/>
      </w:pPr>
      <w:r>
        <w:rPr>
          <w:b/>
          <w:bCs/>
        </w:rPr>
        <w:t xml:space="preserve">Ementa</w:t>
      </w:r>
    </w:p>
    <w:p>
      <w:r>
        <w:t xml:space="preserve">LEI Nº 3.244, DE 14 DE AGôSTO DE 1957 Dispõe sôbre a Reforma da Tarifa das Alfândegas, e dá outras providências. O PRESIDENTE DA REPÚBLICA, faço saber que o CONGRESSO NACIONAL decreta e eu sanciono a seguinte Lei: CAPÍTULO I Da incidência Art. 1º Está sujeita ao impôsto de importação a mercadoria estrangeira que entrar em território nacional. § 1º Não se aplicará o disposto neste artigo à mercadoria estrangeira destinada a outro país, em trânsito regular pelo território nacional, trafegando por via usual ao comércio internacional. § 2º Considerar-se-á igualmente entrada no território nacional, para os efeitos deste artigo, a mercadoria manifestada, cuja falta fôr apurada no ato de descarga ou de conferência do manifesto, sem prejuízo das sanções cabíveis. CAPÍTULO II Da Alíquota Art. 2º O impôsto de importação será cobrado na forma estabelecida por esta lei e pela Tarifa que a acompanha, por meio de alíquota "ad-valorem", que poderá ser combinada com sua equivalente específica, aplicando-se, para o cálculo do impôsto, a alíquota de que resultar tributação mais elevada. Parágrafo único. A alíquota específica será reajustada, semestralmente, a fim de conservar sua equivalência com a alíquota "ad-valorem" correspondente. Art. 3º Poderá ser alterada dentro dos limites máximo e mínimo do respectivo capítulo, a alíquota relativa a produto: a) cujo nível tarifário venha a se revelar insuficiente ou excessivo ao adequado cumprimento dos objetivos da Tarifa; b) cuja produção interna fôr de interêsse fundamental estimular; c) que haja obtido registro de similar; d) de país que dificultar a exportação brasileira para seu mercado, ouvido prèviamente o Ministério das Relações Exteriores; e) de país que desvalorizar sua moeda ou conceder subsídio à exportação, de forma a frustar os objetivos da Tarifa. § 1º Nas hipóteses dos itens a, b e c a alter ação da alíquota, em cada caso, não poderá ultrapassar, para mais ou para menos, a 30% (trinta por cento) “ad-valorem”. § 2º Na ocorrência de "dumping", a alíquota poderá ser elevada até o limite capaz de neutralizá-lo. Art. 4º Quando a produção nacional de matéria-prima ou qualquer outro produto de base fôr ainda insuficiente para atender ao consumo interno poderá ser concedida isenção ou redução do impôsto para a importação complementar. § 1º A isenção ou redução do impôsto será concedida mediante prova de aquisição de determinada quota do produto nacional, na fonte de produção, ou prova de recusa, ou incapacidade de fornecimento, dentro do prazo e a preço CIF não superior ao do similar estrangeiro acrescido do impôsto de importação. § 2º A concessão será de caráter geral em relação a cada espécie de produto, garantida a aquisição integral da produção nacional. CAPÍTULO III Da Base de Cálculo Art. 5º O impôsto "ad-valorem" será calculado com base no valor externo da mercadoria acrescido das despesas de seguro e frete (valor CIF). Parágrafo único. Considerar-se-á valor externo da mercadoria o preço, ao tempo de sua exportação, pelo qual ela, ou mercadoria similar, é normalmente oferecida à venda no mercado atacadista do país exportador somado ao custo de qualquer recipiente, envoltório ou embalagem, e as despesas referentes à sua colocação no pôrto de embarque para o Brasil, deduzidos, quando fôr o caso, os impostos exigíveis para consumo interno e recuperáveis pela exportação da mercadoria. Art. 6º O valor externo será declarado pelo importador na nota de importação. § 1º Quando ultimada a conferência, o funcionário aduaneiro tiver elementos para impugnar a declaração do importador, deverá dentro do prazo de 8 (oito) dias, mediante fundamentação assinada, fixar o novo valor pelo qual prosseguirá o despacho. § 2º Notificado da impugnação, o importador terá 30 (trinta) dias para reclamar ao Inspetor da Alfândega, que dará sua decisão dentro de trinta (30) dias, a contar da data da interposição da reclamação. § 3º Na falta de decisão, dentro do prazo estabelecido no parágrafo anterior será aceito, provisòriamente, o valor declarado pelo importador, para efeito de desembaraço da mercadoria, mediante fiança ou depósito da diferença exigida, obedecido o disposto no art. 14 e seus parágrafos, do Decreto-lei nº 607, de 10 de agôsto de 1938. § 4º Da decisão caberá recurso, nos têrmos da legislação vigente. Art. 7º Quando o valor externo não puder ser devidamente apurado, o cálculo do impôsto será feito na base do mercado atacadista interno, deduzidos além dos tributos incidentes sôbre a importa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2026-06-17T14:08:32.187Z</dcterms:created>
  <dcterms:modified xsi:type="dcterms:W3CDTF">2026-06-17T14:08:32.187Z</dcterms:modified>
</cp:coreProperties>
</file>

<file path=docProps/custom.xml><?xml version="1.0" encoding="utf-8"?>
<Properties xmlns="http://schemas.openxmlformats.org/officeDocument/2006/custom-properties" xmlns:vt="http://schemas.openxmlformats.org/officeDocument/2006/docPropsVTypes"/>
</file>