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02/06/1980</w:t>
      </w:r>
    </w:p>
    <w:p/>
    <w:p>
      <w:r>
        <w:t xml:space="preserve">SE A CARACTERIZA SIMPLESMENTE A VIDA EM COMUM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ação de dissolução de sociedade de fato e partilha de bens, proposta por A. A. F. consta I. V., e, julgada improcedente em Primeira Instância, por considerar o Dr. Juiz provado que a ré sempre trabalhou, podendo ter realmente adquirido os imóveis que se acham em seu nome, e devendo ser admitidas como doações quaisquer quantias com que o autor eventualmente possa ter concorrido. - Irresignado apela A., asseverando ter o Dr. Juiz decidido contra a prova dos autos, alegando da sentença recorrida, que não colide, de forma alguma, com os elementos probatórios obtidos, tendo sido demonstrado que I, trabalhava como professora e tradutora, podendo perfeitamente ter adquirido os bens que se acham em seu nome. - Vale ressaltar que não se deu mesmo o autor ao trabalho de juntar os títulos aquisitivos dos imóveis, pelos quais poderiam ser verificados, o preço e a época da compra dos mesmos. - Ignoraríamos tudo a respeito, não provasse a ré ter vendido um imóvel situado na rua Barão de Itambi, na Lagoa, em 1970, e adquirido outro na Rua Rita Ludolf, na Gávea. - As testemunhas apresentadas, pelo autor disseram apenas que ouviram dizer, uma pelo próprio A., e outras não indicando a fonte, que os imóveis teriam sido adquiridos por ele. - O fato de viverem duas pessoas em comum, como se casados fossem, não indica por si mesmo a existência de sociedade que faça com que se comuniquem e tornem suscetíveis de divisão os bens que se encontrem em poder ou em n ome de cada um deles, visto como tais uniões por natureza de cunho efetivo, e, não para fins lucrativos. - Como foi lembrado no curso do processo, o próprio casamento pode ser realizado como separação de bens, caso em que se considera pertencente a cada cônjuge o que em nome dele constar. - Ainda que se admitisse para argumentar, que o autor pudesse ter concorrido para a aquisição, ou mesmo que houvesse pago algum deles, deve um gesto dessa natureza ser considerado como doação. - Contra um tal ato poderia se insurgir uma pessoa prejudicada, mas, não o próprio doador posteriormente arrependido da atitude assumida, a menos que alegasse e provasse ingratidão do donatário. - É de ressaltar também que existem bens em nome de ambos os litigantes, o que indicaria em caso de aquisição pelo esforço comum de ambos, a pré-existência de partilha acertada de comum acordo. - De qualquer forma não ficou provado que os bens em nome da ré não tenham sido por ela adquiridos, devendo ser considerado pertencente a cada litigante o que em seu nome estiver. - Pelos motivos expostos, é de ser negado provimento ao recurso. Julgado em 03-06-1980 Arquivo do Ementário Forense, TJ/886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existência de vida em comum entre duas pessoas não prova a existência da sociedade de fato, e nem faz com que se comuniquem e tornem suscetíveis de divisão os bens que acharem em poder ou em nome de cada uma delas. - Se a mulher... trabalha e tem meios de adquirir os imóveis que estejam em seu nome, não se pode depreender, pelo simples fato de existir união, que seu amásio tenha concorrido para a aquisição dos mesmos.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2026-09-11T00:15:27.865Z</dcterms:created>
  <dcterms:modified xsi:type="dcterms:W3CDTF">2026-09-11T00:15:27.865Z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