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12/11/1979</w:t>
      </w:r>
    </w:p>
    <w:p/>
    <w:p>
      <w:r>
        <w:t xml:space="preserve">LOCATÁRIO SÓCIO DA SOCIEDADE TITULAR DO FUNDO DE COMÉRCIO — PARTE LEGÍTIMA PARA PROPÔ-LA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Prescreve o art. 362 do Código de 1939, ainda em vigor, que "quando o locatário fizer parte da sociedade comercial, a que passe a pertencer o fundo de comércio instalado no imóvel, a ação renovatória caberá ao locatário e à sociedade". - Como ensina o abalizado ALFREDO BUZAID (Da Ação Renovatória), em tal caso justifica-se a legitimidade da sociedade, pois é ela que explora o fundo de comércio, mas, a lei não exclui a do sócio, porque é ele o titular da locação. Não se trata de divisão do direito ao arrendamento, nem de condomínio, nem de substituição processual. O Código legitimou-os concomitantemente à propositura da ação. Somente se o locatário se retira da sociedade, o que não é o caso dos autos, é que não é mais parte legítima para ajuizar a renovatória. - E como não há sublocação, nem cessão, não se pode falar em infração do contrato e da lei, como pretende o agravante. - ............................ - Dado provimento ao apelo. Julgado em 13-11-1979 Arquivo do Ementário Forense, TA/288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locatário fizer parte de sociedade comercial, a que passe a pertencer o fundo de comércio instalado no imóvel, a ação renovatória caberá ao locatário e à sociedade. - Há uma legitimidade concorrente, da sociedade e do sócio locatário, para a propositura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2026-10-26T02:16:40.333Z</dcterms:created>
  <dcterms:modified xsi:type="dcterms:W3CDTF">2026-10-26T02:16:40.333Z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