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12/11/1979</w:t>
      </w:r>
    </w:p>
    <w:p/>
    <w:p>
      <w:r>
        <w:t xml:space="preserve">LOCATÁRIO SÓCIO DA SOCIEDADE TITULAR DO FUNDO DE COMÉRCIO — PARTE LEGÍTIMA PARA PROPÔ-LA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Prescreve o art. 362 do Código de 1939, ainda em vigor, que "quando o locatário fizer parte da sociedade comercial, a que passe a pertencer o fundo de comércio instalado no imóvel, a ação renovatória caberá ao locatário e à sociedade". - Como ensina o abalizado ALFREDO BUZAID (Da Ação Renovatória), em tal caso justifica-se a legitimidade da sociedade, pois é ela que explora o fundo de comércio, mas, a lei não exclui a do sócio, porque é ele o titular da locação. Não se trata de divisão do direito ao arrendamento, nem de condomínio, nem de substituição processual. O Código legitimou-os concomitantemente à propositura da ação. Somente se o locatário se retira da sociedade, o que não é o caso dos autos, é que não é mais parte legítima para ajuizar a renovatória. - E como não há sublocação, nem cessão, não se pode falar em infração do contrato e da lei, como pretende o agravante. - ............................ - Dado provimento ao apelo. Julgado em 13-11-1979 Arquivo do Ementário Forense, TA/288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locatário fizer parte de sociedade comercial, a que passe a pertencer o fundo de comércio instalado no imóvel, a ação renovatória caberá ao locatário e à sociedade. - Há uma legitimidade concorrente, da sociedade e do sócio locatário, para a propositura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2026-06-17T16:51:32.383Z</dcterms:created>
  <dcterms:modified xsi:type="dcterms:W3CDTF">2026-06-17T16:51:32.383Z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