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SOCIEDADE POR QUOTAS</w:t>
      </w:r>
    </w:p>
    <w:p>
      <w:r>
        <w:rPr>
          <w:i/>
          <w:iCs/>
          <w:color w:val="666666"/>
        </w:rPr>
        <w:t xml:space="preserve">RESPONSABILIDADE PESSOAL DOS SÓCIOS</w:t>
      </w:r>
    </w:p>
    <w:p/>
    <w:p>
      <w:r>
        <w:rPr>
          <w:b/>
          <w:bCs/>
        </w:rPr>
        <w:t xml:space="preserve">Julgado em: </w:t>
      </w:r>
      <w:r>
        <w:t xml:space="preserve">12/11/1979</w:t>
      </w:r>
    </w:p>
    <w:p/>
    <w:p>
      <w:r>
        <w:t xml:space="preserve">LOCATÁRIO SÓCIO DA SOCIEDADE TITULAR DO FUNDO DE COMÉRCIO — PARTE LEGÍTIMA PARA PROPÔ-LA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Prescreve o art. 362 do Código de 1939, ainda em vigor, que "quando o locatário fizer parte da sociedade comercial, a que passe a pertencer o fundo de comércio instalado no imóvel, a ação renovatória caberá ao locatário e à sociedade". - Como ensina o abalizado ALFREDO BUZAID (Da Ação Renovatória), em tal caso justifica-se a legitimidade da sociedade, pois é ela que explora o fundo de comércio, mas, a lei não exclui a do sócio, porque é ele o titular da locação. Não se trata de divisão do direito ao arrendamento, nem de condomínio, nem de substituição processual. O Código legitimou-os concomitantemente à propositura da ação. Somente se o locatário se retira da sociedade, o que não é o caso dos autos, é que não é mais parte legítima para ajuizar a renovatória. - E como não há sublocação, nem cessão, não se pode falar em infração do contrato e da lei, como pretende o agravante. - ............................ - Dado provimento ao apelo. Julgado em 13-11-1979 Arquivo do Ementário Forense, TA/288 EMENTÁRIO FORENSE. Outubro, 1980. Ano XXXII. Nº 383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Quando o locatário fizer parte de sociedade comercial, a que passe a pertencer o fundo de comércio instalado no imóvel, a ação renovatória caberá ao locatário e à sociedade. - Há uma legitimidade concorrente, da sociedade e do sócio locatário, para a propositura da ação.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2026-09-11T00:12:42.603Z</dcterms:created>
  <dcterms:modified xsi:type="dcterms:W3CDTF">2026-09-11T00:12:42.603Z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