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28/03/1979</w:t>
      </w:r>
    </w:p>
    <w:p/>
    <w:p>
      <w:r>
        <w:t xml:space="preserve">TRIBUNAL FEDERAL DE RECURSOS — QUANDO SE FIRMA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Instalaram-se nestes autos a imprecisão e a conseqüente confusão. Ainda assim, parece possível divisar, em meio à bruma que os envolve, a natureza da pretensão posta em juízo pela autora da ação. - Tal pretensão não se abriga, como observa a douta Procuradoria-Geral, na legislação de infortunística, mas na previdenciária, "tout court". O que a autora quer é, ser inscrita como beneficiária de seu enteado pré-morto, segurado do réu; e, segundo, perceber mensalmente a pensão que lhe deve resultar dessa condição. - Essa conclusão resulta, parece-me, não só dos termos em que deduzido o pedido na petição inicial, como daqueles em que o reiterou a autora na audiência, "verbis": "Pelo exposto e que mais dos autos consta pedimos a procedência da inicial para se condenar o INPS, a receber a inscrição da requerente, como dependente do segurado falecido condenada em conseqüência, ao pagamento Pa requerente dos benefícios previdenciários decorrentes da morte de J." - Questões outras, como as da representação processual da autora, ou da conotação que deram à causa o réu e o julgador de primeiro grau, ou do rito procedimental nela adotado, são suscetíveis de reexame pelo Tribunal competente para a apreciação dos recursos necessários e voluntários. Mas este, há de identificar-se pela índole da pretensão que dá objeto à ação. - Conheço do conflito, que está configurado, mas dou pela competência do Tribunal suscitante, ou seja, o Egrégio Tribunal Federal de Recursos. Julgado em 29-03-1979 Revista Trimestral de Jurisprudência. Setembro, 1979 - Vol. 89 - Pág. 747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Constituição art. 125, § 3º. - Ação que persegue benefício previdenciário de natureza pecuniária, envolvendo instituição federal de previdência social, deve ser julgada, em segunda instância, pelo Tribunal Federal de Recursos.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2026-06-17T15:41:01.047Z</dcterms:created>
  <dcterms:modified xsi:type="dcterms:W3CDTF">2026-06-17T15:41:01.047Z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