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28/03/1979</w:t>
      </w:r>
    </w:p>
    <w:p/>
    <w:p>
      <w:r>
        <w:t xml:space="preserve">TRIBUNAL FEDERAL DE RECURSOS — QUANDO SE FIRMA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Instalaram-se nestes autos a imprecisão e a conseqüente confusão. Ainda assim, parece possível divisar, em meio à bruma que os envolve, a natureza da pretensão posta em juízo pela autora da ação. - Tal pretensão não se abriga, como observa a douta Procuradoria-Geral, na legislação de infortunística, mas na previdenciária, "tout court". O que a autora quer é, ser inscrita como beneficiária de seu enteado pré-morto, segurado do réu; e, segundo, perceber mensalmente a pensão que lhe deve resultar dessa condição. - Essa conclusão resulta, parece-me, não só dos termos em que deduzido o pedido na petição inicial, como daqueles em que o reiterou a autora na audiência, "verbis": "Pelo exposto e que mais dos autos consta pedimos a procedência da inicial para se condenar o INPS, a receber a inscrição da requerente, como dependente do segurado falecido condenada em conseqüência, ao pagamento Pa requerente dos benefícios previdenciários decorrentes da morte de J." - Questões outras, como as da representação processual da autora, ou da conotação que deram à causa o réu e o julgador de primeiro grau, ou do rito procedimental nela adotado, são suscetíveis de reexame pelo Tribunal competente para a apreciação dos recursos necessários e voluntários. Mas este, há de identificar-se pela índole da pretensão que dá objeto à ação. - Conheço do conflito, que está configurado, mas dou pela competência do Tribunal suscitante, ou seja, o Egrégio Tribunal Federal de Recursos. Julgado em 29-03-1979 Revista Trimestral de Jurisprudência. Setembro, 1979 - Vol. 89 - Pág. 747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Constituição art. 125, § 3º. - Ação que persegue benefício previdenciário de natureza pecuniária, envolvendo instituição federal de previdência social, deve ser julgada, em segunda instância, pelo Tribunal Federal de Recursos.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2026-09-11T00:15:09.892Z</dcterms:created>
  <dcterms:modified xsi:type="dcterms:W3CDTF">2026-09-11T00:15:09.892Z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