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EMPRESA DISTR DE TÍTULOS E VALORES</w:t>
      </w:r>
    </w:p>
    <w:p>
      <w:r>
        <w:rPr>
          <w:i/>
          <w:iCs/>
          <w:color w:val="666666"/>
        </w:rPr>
        <w:t xml:space="preserve">NATUREZA ECONÔMICA E JURÍDICA</w:t>
      </w:r>
    </w:p>
    <w:p/>
    <w:p>
      <w:r>
        <w:rPr>
          <w:b/>
          <w:bCs/>
        </w:rPr>
        <w:t xml:space="preserve">Recurso: </w:t>
      </w:r>
      <w:r>
        <w:t xml:space="preserve">re 20</w:t>
      </w:r>
    </w:p>
    <w:p/>
    <w:p>
      <w:r>
        <w:t xml:space="preserve">LEIS 6.535/78 E 7.511/86 — REVOGA - LEI 4.771/65 - REDAÇÃO - ALTERA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7.803, DE 18 DE JULHO DE 1989 Altera a redação da Lei nº 4.771, de 15 de setembro de 1965, e revoga as Leis nºs 6.535, de 15 de junho de 1978, e 7.511, de 7 de julho de 1986. O PRESIDENTE DA REPÚBLICA Faço saber que o Congresso Nacional decreta e eu sanciono a seguinte Lei: Art. 1º A Lei nº 4.771, de 15 de setembro de 1965, passa a vigorar com as seguintes alterações: I - o art. 2º passa a ter a seguinte redação: "Art. 2º ...................... a) ao longo dos rios ou de qualquer curso d'água desde o seu nível mais alto em faixa marginal cuja largura mínima seja: 1) de 30 (trinta) metros para os cursos d'água de menos de 10 (dez) metros de largura; 2) de 50 (cinqüenta) metros para os cursos d'água que tenham de 10 (dez) a 50 (cinqüenta) metros de largura; 3) de 100 (cem) metros para os cursos d'água que tenham de 50 (cinqüenta) a 200 (duzentos) metros de largura; 4) de 200 (duzentos) metros para os cursos d'água que tenham de 200 (duzentos) a 600 (seiscentos) metros de largura; 5) de 500 (quinhentos) metros para os cursos d'água que tenham largura superior a 600 (seiscentos) metros; .......................... c) nas nascentes, ainda que intermitentes e nos chamados "olhos d'água", qualquer que seja a sua situação topográfica, num raio mínimo de 50 (cinqüenta) metros de largura; g) nas bordas dos tabuleiros ou chapadas, a partir da linha de ruptura do relevo, em faixa nunca inferior a 100 (cem) metros em projeções horizontais; h) em altitude superior a 1.800 (mil e oitocentos) metros, qualquer que seja a vegetação. Parágrafo único. No caso de áreas urbanas, assim entendidas as compreendidas nos perímetros urbanos definidos por lei municipal, e nas regiões metropolitanas e aglomerações urbanas, em todo o território abrangido, observar-se-á o disposto nos respectivos planos diretores e leis de uso do solo, respeitados os princípios e limites a que se refere este artigo." II - o art. 16 passa a vigorar acrescido de dois parágrafos, numerados como § 2º e § 3º, na forma seguinte: "Art. 16 ................. ...................... § 1º Nas propriedades rurais, compreendidas na alínea a deste artigo, com área entre 20 (vinte) a 50 (cinqüenta) hectares, computar-se-ão, para efeito de fixação do limite percentual, além da cobertura florestal de qualquer natureza, os maciços de porte arbóreo, sejam frutíferos, ornamentais ou industriais. § 2º A reserva legal, assim entendida a área de, no mínimo, 20% (vinte por cento) de cada propriedade, onde não é permitido o corte raso, deverá ser averbada à margem da inscrição de matrícula do imóvel, no registro de imóveis competente, sendo vedada, a alteração de sua destinação, nos casos de transmissão, a qualquer título, ou de desmembramento da área. § 3º Aplica-se às áreas de cerrado a reserva legal de 20% (vinte por cento) para todos os efeitos legais." III - o art. 19 passa a vigorar acrescido de um parágrafo único, com a seguinte redação: "Art. 19. A exploração de florestas e de formações sucessoras, tanto de domínio público como de domínio privado, dependerá de aprovação prévia do Instituto Brasileiro do Meio Ambiente e dos Recursos Naturais Renováveis - IBAMA, bem como da adoção de técnicas de condução, exploração, reposição florestal e manejo compatíveis com os variados ecossistemas que a cobertura arbórea forme. Parágrafo único. No caso de reposição florestal, deverão ser priorizados projetos que contemplem a utilização de espécies nativas." IV - o art. 22 passa a ter a seguinte redação: "Art. 22. A União, diretamente, através do órgão executivo específico, ou em convênio com os Estados e Municípios, fiscalizará a aplicação das normas deste Código, podendo, para tanto, criar os serviços indispensáveis. Parágrafo único. Nas áreas urbanas, a que se refere o parágrafo único do art. 2º. desta Lei, a fiscalização é da competência dos municípios , atuando a União supletivamente." V - o art. 44 fica acrescido do seguinte parágrafo único: "Art. 44 ....................... Parágrafo único. A reserva legal, assim entendida a área de, no mínimo, 50% (cinqüenta por cento), de cada propriedade, onde não é permitido o corte raso, deverá ser averbada à margem da inscrição da matrícula do imóvel no registro de imóveis competente, sendo vedada a alteração de sua destinação, nos casos de transmissão, a qualquer título, ou de desmembramento da área." VI - ficam-lhe acrescidos dois artigos, numerados como arts. 45 e 46, renumerando-se os atuais arts. 45, 46, 47 e 48 para 47, 48, 49 e 50, respect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2026-07-28T01:56:21.527Z</dcterms:created>
  <dcterms:modified xsi:type="dcterms:W3CDTF">2026-07-28T01:56:21.527Z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