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20</w:t>
      </w:r>
    </w:p>
    <w:p/>
    <w:p>
      <w:r>
        <w:t xml:space="preserve">LEIS 6.535/78 E 7.511/86 — REVOGA - LEI 4.771/65 -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7.803, DE 18 DE JULHO DE 1989 Altera a redação da Lei nº 4.771, de 15 de setembro de 1965, e revoga as Leis nºs 6.535, de 15 de junho de 1978, e 7.511, de 7 de julho de 1986. O PRESIDENTE DA REPÚBLICA Faço saber que o Congresso Nacional decreta e eu sanciono a seguinte Lei: Art. 1º A Lei nº 4.771, de 15 de setembro de 1965, passa a vigorar com as seguintes alterações: I - o art. 2º passa a ter a seguinte redação: "Art. 2º ...................... a) ao longo dos rios ou de qualquer curso d'água desde o seu nível mais alto em faixa marginal cuja largura mínima seja: 1) de 30 (trinta) metros para os cursos d'água de menos de 10 (dez) metros de largura; 2) de 50 (cinqüenta) metros para os cursos d'água que tenham de 10 (dez) a 50 (cinqüenta) metros de largura; 3) de 100 (cem) metros para os cursos d'água que tenham de 50 (cinqüenta) a 200 (duzentos) metros de largura; 4) de 200 (duzentos) metros para os cursos d'água que tenham de 200 (duzentos) a 600 (seiscentos) metros de largura; 5) de 500 (quinhentos) metros para os cursos d'água que tenham largura superior a 600 (seiscentos) metros; .......................... c) nas nascentes, ainda que intermitentes e nos chamados "olhos d'água", qualquer que seja a sua situação topográfica, num raio mínimo de 50 (cinqüenta) metros de largura; g) nas bordas dos tabuleiros ou chapadas, a partir da linha de ruptura do relevo, em faixa nunca inferior a 100 (cem) metros em projeções horizontais; h) em altitude superior a 1.800 (mil e oitocentos) metros, qualquer que seja a vegetação. Parágrafo único. No caso de áreas urbanas, assim entendidas as compreendidas nos perímetros urbanos definidos por lei municipal, e nas regiões metropolitanas e aglomerações urbanas, em todo o território abrangido, observar-se-á o disposto nos respectivos planos diretores e leis de uso do solo, respeitados os princípios e limites a que se refere este artigo." II - o art. 16 passa a vigorar acrescido de dois parágrafos, numerados como § 2º e § 3º, na forma seguinte: "Art. 16 ................. ...................... § 1º Nas propriedades rurais, compreendidas na alínea a deste artigo, com área entre 20 (vinte) a 50 (cinqüenta) hectares, computar-se-ão, para efeito de fixação do limite percentual, além da cobertura florestal de qualquer natureza, os maciços de porte arbóreo, sejam frutíferos, ornamentais ou industriais. § 2º A reserva legal, assim entendida a área de, no mínimo, 20% (vinte por cento) de cada propriedade, onde não é permitido o corte raso, deverá ser averbada à margem da inscrição de matrícula do imóvel, no registro de imóveis competente, sendo vedada, a alteração de sua destinação, nos casos de transmissão, a qualquer título, ou de desmembramento da área. § 3º Aplica-se às áreas de cerrado a reserva legal de 20% (vinte por cento) para todos os efeitos legais." III - o art. 19 passa a vigorar acrescido de um parágrafo único, com a seguinte redação: "Art. 19. A exploração de florestas e de formações sucessoras, tanto de domínio público como de domínio privado, dependerá de aprovação prévia do Instituto Brasileiro do Meio Ambiente e dos Recursos Naturais Renováveis - IBAMA, bem como da adoção de técnicas de condução, exploração, reposição florestal e manejo compatíveis com os variados ecossistemas que a cobertura arbórea forme. Parágrafo único. No caso de reposição florestal, deverão ser priorizados projetos que contemplem a utilização de espécies nativas." IV - o art. 22 passa a ter a seguinte redação: "Art. 22. A União, diretamente, através do órgão executivo específico, ou em convênio com os Estados e Municípios, fiscalizará a aplicação das normas deste Código, podendo, para tanto, criar os serviços indispensáveis. Parágrafo único. Nas áreas urbanas, a que se refere o parágrafo único do art. 2º. desta Lei, a fiscalização é da competência dos municípios , atuando a União supletivamente." V - o art. 44 fica acrescido do seguinte parágrafo único: "Art. 44 ....................... Parágrafo único. A reserva legal, assim entendida a área de, no mínimo, 50% (cinqüenta por cento), de cada propriedade, onde não é permitido o corte raso, deverá ser averbada à margem da inscrição da matrícula do imóvel no registro de imóveis competente, sendo vedada a alteração de sua destinação, nos casos de transmissão, a qualquer título, ou de desmembramento da área." VI - ficam-lhe acrescidos dois artigos, numerados como arts. 45 e 46, renumerando-se os atuais arts. 45, 46, 47 e 48 para 47, 48, 49 e 50, respect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2026-10-16T17:24:36.986Z</dcterms:created>
  <dcterms:modified xsi:type="dcterms:W3CDTF">2026-10-16T17:24:36.986Z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