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/>
    <w:p>
      <w:r>
        <w:t xml:space="preserve">ARTS. 1º, 4º, 14, 16 E 44 DA LEI 4.771/65 — ART 10 DA LEI 9.393/96 - ALTERA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1.956-51, DE 26 DE JUNHO DE 2000 Altera os arts. 1º, 4º, 14, 16 e 44, e acresce dispositivos à Lei nº 4.771, de 15 de setembro de 1965, que institui o Código Florestal, bem como altera o art. 10 da Lei nº 9.393, de 19 de dezembro de 1996, que dispõe sobre o Imposto sobre a Propriedade Territorial Rural - ITR, e dá outras providências. O PRESIDENTE DA REPÚBLICA, no uso da atribuição que lhe confere o art. 62, e tendo em vista o disposto no art. 225, § 4º, da Constituição, adota a seguinte Medida Provisória, com força de lei. Art. 1o Os arts. 1o, 4o, 14, 16 e 44, da Lei no 4.771, de 15 de setembro de 1965, passam a vigorar com as seguintes redações: "Art. 1o ................................................................................................................................. § 1o As ações ou omissões contrárias às disposições deste Código na utilização e exploração das florestas e demais formas de vegetação são consideradas uso nocivo da propriedade, aplicando-se, para o caso, o procedimento sumário previsto no art. 275, inciso II, do Código de Processo Civil. § 2o Para os efeitos deste Código, entende-se por: I - Pequena propriedade rural ou posse rural familiar: aquela explorada mediante o trabalho pessoal do proprietário ou posseiro e de sua família, admitida a ajuda eventual de terceiro e cuja renda bruta seja proveniente, no mínimo, em oitenta por cento, de atividade agroflorestal ou do extrativismo, cuja área não supere: a) cento e cinqüenta hectares se localizada nos Estados do Acre, Pará, Amazonas, Roraima, Rondônia, Amapá e Mato Grosso e nas regiões situadas ao norte do paralelo 13o S, dos Estados de Tocantins e Goiás, e ao oeste do meridiano de 44o W, do Estado do Maranhão ou no Pantanal mato-grossense ou sul-mato-grossense; b) cinqüenta hectares, se localizada no polígono das secas ou a leste do Meridiano de 44º W, do Estado do Maranhão; e c) trinta hectares, se localizada em qualquer outra região do País; II - Área de preservação permanente: área protegida nos termos dos arts. 2o e 3o desta Lei, coberta ou não por vegetação nativa, com a função ambiental de preservar os recursos hídricos, a paisagem, a estabilidade geológica, a biodiversidade, o fluxo gênico de fauna e flora, proteger o solo e assegurar o bem-estar das populações humanas; III - Reserva Legal: área localizada no interior de uma propriedade ou posse rural, excetuada a de preservação permanente, necessária ao uso sustentável dos recursos naturais, à conservação e reabilitação dos processos ecológicos, à conservação da biodiversidade e ao abrigo e proteção de fauna e flora nativas; IV - Utilidade pública: a) as atividades de segurança nacional e proteção sanitária; b) as obras essenciais de infra-estrutura destinadas aos serviços públicos de transporte, saneamento e energia; e c) demais obras, planos, atividades ou projetos previstos em resolução do Conselho Nacional de Meio Ambiente - CONAMA; V - Interesse social: a) as atividades imprescindíveis à proteção da integridade da vegetação nativa, tais como: prevenção, combate e controle do fogo, controle da erosão, erradicação de invasoras e proteção de plantios com espécies nativas, conforme resolução do CONAMA; b) as atividades de manejo agroflorestal sustentável praticadas na pequena propriedade ou posse rural familiar, que não descaracterizem a cobertura vegetal e não prejudiquem a função ambiental da área; e c) demais obras, planos, atividades ou projetos definidos em resolução do CONAMA; VI - Amazônia Legal: os Estados do Acre, Pará, Amazonas, Roraima, Rondônia, Amapá e Mato Grosso e as regiões situadas ao norte do paralelo 13o S, dos Estados de Tocantins e Goiás, e ao oeste do meridiano de 44o W, do Estado do Maranhão." (NR) "Art. 4o A supressão de vegetação em área de preservação permanente somente poderá ser autorizada em caso de utilidade pública ou de interesse socio-econômico, devidamen te caracterizados e motivados em procedimento administrativo próprio, quando inexistir alternativa técnica e locacional ao empreendimento proposto. § 1o A supressão de que trata o caput deste artigo dependerá de autorização do órgão ambiental estadual competente, com anuência prévia, quando couber, do órgão federal ou municipal de meio ambiente, ressalvado o disposto no § 2o deste artigo. § 2o A supressão de vegetação em área de preservação permanente situada em área urbana, dependerá de autorização do órgão ambiental competente, desde que o município possua conselho de 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2026-10-16T16:14:13.002Z</dcterms:created>
  <dcterms:modified xsi:type="dcterms:W3CDTF">2026-10-16T16:14:13.002Z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