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MS 9.549</w:t>
      </w:r>
    </w:p>
    <w:p>
      <w:r>
        <w:rPr>
          <w:b/>
          <w:bCs/>
        </w:rPr>
        <w:t xml:space="preserve">Julgado em: </w:t>
      </w:r>
      <w:r>
        <w:t xml:space="preserve">21/02/1978</w:t>
      </w:r>
    </w:p>
    <w:p/>
    <w:p>
      <w:r>
        <w:t xml:space="preserve">SE É IDÔNEO PARA ATACAR O ATO EXPROPRIATÓRIO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questão suscitada no recurso diz com a pretendida inidoneidade do mandado de segurança para a impugnação de ato expropriatório. - Nesse ponto, na verdade, há dissídio com o acórdão proferido no MS 9.549 (DJ 19-09-63, pág. 875), invocado pelos recorrentes. Esse aresto, contudo parece-me escoteiro, como procurei demonstrar ao votar no MS 19.961 (RTJ 71/314), havendo sido contraditado por numerosas decisões posteriores, inclusive as tomadas recentemente nesse precedente, que acabo de referir, e no MS 19.983 (RTJ 77/48). - Devo reproduzir, aqui, para recolocar os resultados da pesquisa jurisprudencial a que me propus naquela oportunidade, quanto tive ensejo de dizer, no julgamento do referido MS 19.961, para responder à preliminar ali também suscitada "verbis" (RTJ 71/317-318): "Não tem qualquer pertinência a tese sustentada nas informações pela Consultoria Jurídica do Ministério da Educação e Cultura, no sentido de que o Poder Judiciário jamais pode apreciar razão justificadora do ato expropriatório, devendo limitar seu mister à fixação do valor da indenização devida, Não tem, porque a tese só é verdadeira no tocante à intervenção reservada ao judiciário na própria ação de desapropriação, que não é a de que ora se trata. Fora da ação expropriatória, na qual a lei inseriu, a benefício de sua celeridade, restrição que a jurisprudência brasileira e o próprio Supremo Tribunal Federal admitiram como constitucional, pode o Judiciário, e deve, sempre que provocado, examinar quaisquer questões relacionadas com a legalidade do ato expropriatório. A própria lei o diz, aliás, na conjugação dos artigos 9º e 20 do Decreto-lei nº 3.365/41: ao Poder Judiciário é vedado, no processo de desapropriação, decidir se se verificam ou não os casos de utilida de pública, pelo que a contestação só poderá versar sobre vício do processo judicial ou impugnação do preço, qualquer outra questão deverá ser decidida por ação direta. É verdade que as informações desdobram a tese, em cuja sustentação se exaurem, na afirmativa da inidoneidade do mandado de segurança para o exame de questões como as que aqui se colocam, e para isso se abonam em decisões deste Supremo Tribunal. Efetivamente, decisões há que sugerem que, se a lei não permite que o Judiciário examine, na ação de desapropriação, a razão justificadora do ato expropriatório, da qual só poderá conhecer mediante ação direta, também, não lhe será admissível fazê-lo em mandado de segurança. Examinei tais decisões, na generalidade de cujas ementas não é possível disfarçar certa estranheza, e convenci-me de que elas se motivaram, em cada qual dos casos que examinaram, pela impossibilidade de ali apurarem-se e definirem-se os fatos nos quais se assentavam os motivos da desapropriação. Não quiseram dizer, segundo concluí, que jamais, em caso algum, seria idônea o mandado de segurança para a impugnação de ato expropriatório, mas apenas que, nos casos a que se referiram, tal idoneidade se afastava à vista da complexidade dos fatos, ou de controvérsia instalada sobre eles. Refiro-me aos acórdãos proferidos nos MS 2.166 (A.J., 112/221), RE 42.071 (RDA, 72/164), RMS 15.003 (RTJ 36/642) e RMS 11.950 (RTJ, 41/733), dos quais o primeiro e o terceiro são da lavra do Sr. Ministro LUIZ GALOTTI. Tanto assim deve ter sido, que no único julgado que encontrei, a afirmar categoricamente a imprestabilidade, "a priori", do mandado de segurança, para a impugnação do ato de declaração de utilidade pública para fins de desapropriação - o do RMS 9.549 (DJ 19-09-63, pág. 875) -, ficou vencido, entre outros, o mesmo Sr. Ministro LUIZ GALLOTTI, que admitia, em tese, o pedido, e se propunha examinar as questões jurídicas nele suscitadas. Minha decisão se fortaleceu com o exa me de decisões posteriores, nas quais o Tribunal colocou adequadamente a questão e a solveu, a meu ver, com rigoroso acerto (RMS 14.726, RTJ 34/12, ERE 26.149, RTJ 35/11, RMS 14.577, RTJ 36/168). As duas primeiras são do Plenário, ambas unânimes, e tiveram como relator o Sr. Ministro VICTOR NUNES. Na ementa da segunda nos ERE 26.149. Sua Excelência lançou estas exatíssimas proposições: "1) A ação direta, a que se refere o art. 20 da Lei de Desapropriações, não exclui o mandado de segurança, desde que reunidos os seus pressupostos. 2) Nessa hipótese, também cabe mandado de segurança preventivo (antes de iniciada a execução do ato expropriatório)." Não se compreenderia, na verdade, que o mandado de segurança estivesse condenado, antecipadamente,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direta, a que se refere o art. 20 da Lei de Desapropriações, não exclui o mandado de segurança, desde que reunidos os seus pressupostos.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2026-07-28T00:09:01.545Z</dcterms:created>
  <dcterms:modified xsi:type="dcterms:W3CDTF">2026-07-28T00:09:01.545Z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