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14/08/1979</w:t>
      </w:r>
    </w:p>
    <w:p/>
    <w:p>
      <w:r>
        <w:t xml:space="preserve">PRESTAÇÕES EM ATRASO — APLICAÇÃO DE CORREÇÃO MONETÁRIA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ação proposta por segurado para compelir o INPS a aposentá-lo por invalidez, com o pagamento das parcelas atrasadas e corrigidas monetariamente no que foi atendido pelo respeitável sentença. - O acréscimo procede pela necessidade de atualizar-se o valor da dívida, em situação equiparável aos casos de ressarcimento oriundo de ato ilícito e quando ocorre atraso no cumprimento da obrigação, que tem caráter alimentar, pois importa na subsistência do benefício. - Assim, vem decidindo o Supremo Tribunal Federal, conforme a sua Súmula nº 562, atualmente sem mais exigir a previsão legal, forte na necessidade de uma reparação a mais completa e cujo alcance não poderá ser atingido se postergada por culpa do devedor, com verdadeiro empobrecimento do credor. - Conheço e respeito as razões do ilustre voto vencido, sobre a obrigatória atualização dos benefícios previdenciários, que todavia sempre se dá para o futuro. Mas é das parcelas vencidas que se trata e para as quais se devem adotar os índices da correção monetária, evitando-se sucessivas avaliações e conseqüentes perícias, como tão bem observou o Ministro MOREIRA ALVES (RTJ 76/885. apud ROBERTO ROSAS, Direito Sumular, edição 1978, página 294). - É o meu voto, "data venia". Julgado em 15-08-1979 VOTO VENCIDO DO MINISTRO CARLOS MADEIRA (relator) - A irresignação da autarquia limita-se à aplicação da correção monetária sobre as prestações vencidas, o que importa em conformação com a decisão sobre o mérito do pedido do apelado. - Tenho sustentado o descabimento da correção monetária nas prestações previdenciárias, tendo em vista a sua reajustabilidade. Por esse motivo, acolho a irresignação, para excluir o ônus imposto à autarquia sem respaldo em lei expressa. - ...................................................... - Dou provimento, pois, à apelação, não conhecendo da remessa "ex officio", por incabível na espécie. Revista do Tribunal Federal de Recursos. Janeiro a Março, 1980 - Nº 65 - Pág. 113 (*) "Na indenização de danos materiais decorrentes de ato ilícito cabe a atualização de seu valor, utilizando-se, para esse fim, dentre outros critérios, dos índices de correção monetária." ("EMENTÁRIO FORENSE", Nº 340, t. CORREÇÃO MONETÁRIA, st. INDENIZAÇÃO) EMENTÁRIO FORENSE. Novembro, 1980. Ano XXXII. Nº 384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benefícios patrimoniais cuja concessão se posterga, rendem parcelas em atraso, cujo ressarcimento deve ser o mais completo, mediante atualização pela excelência dos índices de correção monetária. Essa é a orientação jurisprudencial mais recente e que se estende às dívidas de valor, na compreensão dos motivos que deram lugar à edição da Súmula 562 (*), do STF (RTJ, 76/385).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2026-07-28T03:13:56.078Z</dcterms:created>
  <dcterms:modified xsi:type="dcterms:W3CDTF">2026-07-28T03:13:56.078Z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