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</w:t>
      </w:r>
    </w:p>
    <w:p>
      <w:r>
        <w:rPr>
          <w:i/>
          <w:iCs/>
          <w:color w:val="666666"/>
        </w:rPr>
        <w:t xml:space="preserve">CONTRIBUINTE QUE SE DECLARA DEVEDOR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>
      <w:r>
        <w:rPr>
          <w:b/>
          <w:bCs/>
        </w:rPr>
        <w:t xml:space="preserve">Relator: </w:t>
      </w:r>
      <w:r>
        <w:t xml:space="preserve">BADY CURI Relator</w:t>
      </w:r>
    </w:p>
    <w:p/>
    <w:p>
      <w:r>
        <w:t xml:space="preserve">MANDADO DE SEGURANÇA — RECEBIMENTO COMO AÇÃO ORDINÁRIA - RITOS DIVERSOS - PRINCÍPIO DA FUNGIBILIDADE - APLICAÇÃO - IMPOSSIBILIDADE - ANTECIPAÇÃO DE TUTELA CONTRA A FAZENDA PÚBLICA - VEDAÇÃO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Não se pode aplicar o princípio da fungibilidade para feitos de ritos diversos. AGRAVO Nº 000.177.387-8/00 - COMARCA DE UBERABA - AGRAVANTE(S): FAZENDA PÚBLICA DO ESTADO DE MINAS GERAIS, CHEFE ADM. FAZENDÁRIA DE UBERABA - AGRAVADO(S): SAN MARCO VEÍCULOS LTDA. - RELATOR: EXMO. SR. DES. BADY CURI Vistos etc., acorda, em Turma, a QUARTA CÂMARA CÍVEL do Tribunal de Justiça do Estado de Minas Gerais, incorporando neste o relatório de fls., na conformidade da ata dos julgamentos e das notas taquigráficas, à unanimidade de votos, EM DAR PROVIMENTO E CASSAR A SENTENÇA. Belo Horizonte, 05 de outubro de 2000. DES. BADY CURI - Relator NOTAS TAQUIGRÁFICAS Assistiu ao julgamento, pela agravante, o Dr. José Roberto de Castro. O SR. DES. BADY CURI: VOTO Conheço do recurso por estarem presentes os pressupostos de sua admissibilidade. A Fazenda Pública Estadual ajuizou agravo de instrumento, irresignada com a decisão proferida nos autos do mandado de segurança impetrado por San Marco Veículos Ltda., que recebeu o pedido como ação ordinária, deferindo, como antecipação de tutela, a liminar para autorizar a impetrante a transferir à FIAT os créditos de ICMS relativos às diferenças apuradas entre a base de cálculo presumida e o valor real da operação. Aduz a agravante que tal decisão cometeu três equívocos graves, quais sejam: má interpretação do princípio da fungibilidade recursal; transformou uma ação de rito especial em outra de rito ordinário, fazendo letra morta ao art. 8º da Lei n. 1.533/51, aos arts. 128, 293 e 460 do CPC, e ao inciso LV do art. 5º da CR/88; e ainda, concedeu tutela antecipada contra a Fazenda Pública, o que é expressamente vedado. Pretendeu, ainda, a concessão do efeito suspensivo, que foi concedido para suspender os efeitos da decisão impugnada, até o julgamento final deste agravo, por considerar relevantes os fundamentos jurídicos do pedido, eis que patentes os equívocos da decisão agravada , além de demonstrado o periculum in mora, já que, com a liminar concedida, haverá a transferência imediata dos créditos à FIAT Automóveis S.A., com infringência direta aos dispositivos legais que proíbem expressamente a concessão de tutela antecipada contra a Fazenda Pública. Nas informações prestadas, houve por bem o ilustre Juiz manter a r. decisão, ao fundamento de que o procedimento foi admitido como ação ordinária, com a concessão da tutela antecipada, por estarem presentes todos os requisitos a ela necessários, inexistindo qualquer legislação que proíba a antecipação de tutela contra a Fazenda, não tendo relevância o nome dado à ação, desde que legítima a pretensão da parte. Todavia, a r. decisão não merece prosperar. Em primeiro lugar, apesar de prevalecer o entendimento de que "o nome com o qual se rotula a causa é sem relevância para a ciência processual" (RSTJ 37/386), o fato é que tal posicionamento jurisprudencial não permite que sua interpretação seja levada a planos absurdos, já que na espécie, sequer há que se falar na simples aplicação do princípio da fungibilidade em razão de ações erroneamente denominadas. In casu, não se aplica o princípio da fungibilidade, eis que cuidam-se de procedimentos de rito totalmente diversos, sendo o mandado de segurança de rito especial, célere, onde as partes são postas de maneira diferente. Neste sentido, como bem ressaltou o ilustre Procurador de Justiça ao citar entendimento esposado por NELSON NERY JÚNIOR: "A autoridade judiciária não dispõe de poder para, em agindo de ofício, substituir, em sede mandamental, o órgão apontado como coator pelo impetrante do writ. Falece-lhe competência para ordenar a mutação subjetiva no pólo passivo da relação processual. Se o juiz entender ausente, no caso submetido à sua apreciação, a pertinência subjetiva da lide quanto à autoridade indicada como coatora, deverá julgar extinto o processo..." (CPC Comentado, RT, 1997, 3ª ed., p. 1812). Da mes ma forma, ao contrário do entendimento esposado pelo MM. Juiz a quo, é expressamente proibida a concessão de tutela antecipada contra a Fazenda Pública, nos termos do disposto no art. 1º da Lei 9.494/97 Como se não bastasse, verificada a inexistência dos pressupostos à impetração do mandado de segurança, por considerar ter a mesma sido feita contra lei em tese, a teor do disposto no art. 8º da Lei 1.533/51, deveria a inicial ser desde logo indeferida, e não "transformada", como assim entendeu ser possível o ilustre magistrado. Pelo exposto, e ratificando os efeitos da liminar concedida, d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2026-07-28T00:26:44.124Z</dcterms:created>
  <dcterms:modified xsi:type="dcterms:W3CDTF">2026-07-28T00:26:44.124Z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