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p>
      <w:r>
        <w:t xml:space="preserve">DISPÕE SOBRE A PADRONIZAÇÃO, A CLASSIFICAÇÃO, O REGISTRO, A INSPEÇÃO, A PRODUÇÃO E A FISCALIZAÇÃO</w:t>
      </w:r>
    </w:p>
    <w:p/>
    <w:p>
      <w:pPr>
        <w:pStyle w:val="Heading2"/>
      </w:pPr>
      <w:r>
        <w:rPr>
          <w:b/>
          <w:bCs/>
        </w:rPr>
        <w:t xml:space="preserve">Ementa</w:t>
      </w:r>
    </w:p>
    <w:p>
      <w:r>
        <w:t xml:space="preserve">LEI Nº 8.918, DE 14 DE JULHO DE 1994 Dispõe sobre a padronização, a classificação, o registro, a inspeção, a produção e a fiscalização de bebidas, autoriza a criação da Comissão Intersetorial de Bebidas e dá outras providências. O PRESIDENTE DA REPÚBLICA Faço saber que o Congresso Nacional decreta e eu sanciono a seguinte lei: Art. 1º É estabelecida, em todo o território nacional, a obrigatoriedade do registro, da padronização, da classificação, da inspeção e da fiscalização da produção e do comércio de bebidas. Parágrafo único. A inspeção e a fiscalização de que trata esta lei incidirão sobre: I - Inspeção: a) equipamentos e instalações, sob os aspectos higiênicos, sanitários e técnicos; b) embalagens, matérias-primas e demais substâncias, sob os aspectos higiênicos, sanitários e qualitativos; II - Fiscalização; a) estabelecimentos que se dediquem à industrialização, à exportação e à importação dos produtos objeto desta lei; b) portos, aeroportos e postos de fronteiras; c) transporte, armazenagem, depósito, cooperativa e casa atacadista; e d) quaisquer outros locais previstos na regulamentação desta lei. Art. 2º O registro, a padronização, a classificação, e, ainda, a inspeção e a fiscalização da produção e do comércio de bebidas, em relação aos seus aspectos tecnológicos, competem ao Ministério da Agricultura, do Abastecimento e da Reforma Agrária. Art. 3º A inspeção e a fiscalização de bebidas, nos seus aspectos bromatológicos e sanitários, são da competência do Sistema Único de Saúde (SUS), por intermédio de seus órgãos específicos. Art. 4º Os estabelecimentos que industrializem ou importem bebidas ou que as comercializem a granel só poderão fazê-lo se obedecerem, em seus equipamentos e instalações, bem como em seus produtos, aos padrões de identidade e qualidade fixados para cada caso. Parágrafo único. As bebidas de procedência estrangeira somente poderão ser obj eto de comércio ou entregues ao consumo quando suas especificações atenderem aos padrões de identidade e qualidade previstos para os produtos nacionais, excetuados os produtos que tenham características peculiares e cuja comercialização seja autorizada no país de origem. Art. 5º Suco ou sumo é bebida não fermentada, não concentrada e não diluída, obtida da fruta madura e sã, ou parte do vegetal de origem, por processamento tecnológico adequado, submetida a tratamento que assegure a sua apresentação e conservação até o momento do consumo. § 1º O suco não poderá conter substâncias estranhas à fruta ou parte do vegetal de sua origem, excetuadas as previstas na legislação específica. § 2º No rótulo da embalagem ou vasilhame do suco será mencionado o nome da fruta, ou parte do vegetal, de sua origem. § 3º O suco que for parcialmente desidratado deverá mencionar no rótulo o percentual de sua concentração, devendo ser denominado suco concentrado. § 4º Ao suco poderá ser adicionado açúcar na quantidade máxima de dez por cento em peso, devendo constar no rótulo a declaração suco adoçado. § 5º É proibida a adição, em sucos, de aromas e corantes artificiais. Art. 6º A bebida conterá, obrigatoriamente, a matéria-prima natural responsável pelas suas características organolépticas, obedecendo aos padrões de identidade e qualidade previstos em regulamento próprio. § 1º As bebidas que não atenderem ao disposto no caput deste artigo serão denominadas artificiais e deverão observar as disposições regulamentares desta lei. § 2º As bebidas que apresentarem características organolépticas próprias de matéria-prima natural de sua origem, ou cujo nome ou marca se lhe assemelhe, conterão, obrigatoriamente, esta matéria-prima nas quantidades a serem estabelecidas na regulamentação desta lei. Art. 7º As bebidas dietéticas e de baixa caloria poderão ser industrializadas observadas as disposições desta lei, do seu regulamento e legislação complementar, permitido o emprego de edulcorantes naturais e sintéticos na sua elaboração. § 1º Na industrialização de bebidas dietéticas e de baixa caloria, poderão ser feitas associações entre edulcorantes naturais e sintéticos, obedecido o disposto na regulamentação desta lei. § 2º Na rotulagem de bebida dietética e de baixa caloria, além dos dizeres a serem estabelecidos na regulamentação desta lei, deverá constar o nome genérico do edulcorante, ou edulcorantes, quando houver associação, sua classe e quantidade ou peso por unidade. § 3º É livre a comercialização, em todo o território nacional, das bebidas dietéticas e de baixa caloria, observa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2026-07-28T03:46:37.893Z</dcterms:created>
  <dcterms:modified xsi:type="dcterms:W3CDTF">2026-07-28T03:46:37.893Z</dcterms:modified>
</cp:coreProperties>
</file>

<file path=docProps/custom.xml><?xml version="1.0" encoding="utf-8"?>
<Properties xmlns="http://schemas.openxmlformats.org/officeDocument/2006/custom-properties" xmlns:vt="http://schemas.openxmlformats.org/officeDocument/2006/docPropsVTypes"/>
</file>