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Julgado em: </w:t>
      </w:r>
      <w:r>
        <w:t xml:space="preserve">27/06/1978</w:t>
      </w:r>
    </w:p>
    <w:p/>
    <w:p>
      <w:r>
        <w:t xml:space="preserve">COMPRADOR QUE A EMITE PARA COMPROVAR SUA DÍVIDA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embargos à execução cambial para cobrança de uma nota promissória vencida e não paga. A sentença... julgou-os improcedentes, e a devedora apelou, pleiteando a reforma da decisão, sob o fundamento de que o título se originou de uma transação comercial, o que torna inexigível a sua cobrança. - Nega-se provimento ao recurso. É certo que os contratos de compra e venda mercantil são regulados por legislação especial, que não se refere à nota promissória. O art. 2º da Lei nº 5.474, de 18-07-1968, veda, mesmo, a emissão de "qualquer outra espécie de título de crédito para documentar o saque o vendedor pela importância faturada ao comprador". Todavia, como pondera JOÃO EUNÁPIO BORGES, se o comprador der ao vendedor outro "documento comprobatório de sua dívida", não poderá "ilidir a ação, invocando a proibição" referida. "Deixando de lado a possível e secreta intenção do legislador, o que resulta da lei é apenas o seguinte: para documentar o saque relativo à compra, o vendedor não poderá substituir a duplicata por outro título como, por exemplo, a letra de câmbio, o cheque etc.", entretanto "o reconhecimento da dívida pelo comprador, a nota promissória por ele emitida - que é promessa direta de pagamento feita pelo devedor e não saque contra ele emitido - ou declaração equivalente por ele firmada em favor do vendedor, evidentemente tal título não pode ser incluído entre os que a lei proíbe para "documentar o saque do vendedor" ("Títulos de Crédito", 2ª ed., 6ª tiragem, pág. 208). - É de se concluir, assim, que a emissão da nota promissória obriga ao pagamento do título na época devida. Impunha-se, destarte, a improcedência dos embargos, razão, pela qual fica mantida a sentença de primeira instância. Julgado em 28-06-1978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comprador não poderá ilidir a ação de cobrança, se deu ao vendedor nota promissória ao invés de duplicata, como é exigido pela Lei nº 5.474, de 1968.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2026-07-28T02:26:27.011Z</dcterms:created>
  <dcterms:modified xsi:type="dcterms:W3CDTF">2026-07-28T02:26:27.011Z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