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Julgado em: </w:t>
      </w:r>
      <w:r>
        <w:t xml:space="preserve">18/04/1979</w:t>
      </w:r>
    </w:p>
    <w:p/>
    <w:p>
      <w:r>
        <w:t xml:space="preserve">MATÉRIA DE EMBARGOS DO DEVEDOR E NÃO DE INCIDENTE DE FALSIDADE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agravante não está conformada com o despacho, que, chamando à ordem o processo, determinou que se retificasse para embargos do devedor à execução de título extrajudicial, o qual antes fora autuado como incidente de falsidade. - Alega que o Agravado ofereceu bens à penhora, vindo pois a expressamente ingressar com a argüição de falsidade de suas assinaturas nos títulos em cobrança, no processo de execução intentado contra ele e outros. DO VOTO - ... Na ação cambial, é através de embargos que o executado deve argüir a falsidade de sua própria assinatura. - Esta a lição de PAULO DE LACERDA: "São defesas mais comuns pertencentes a esta classe" (trata-se do que o mestre classificava como "defeito da forma intrínseca do título cambial"): "- ...... b) a falsidade........ O réu pode, utilmente, alegar "erga omnes" a falsidade de sua própria firma..." (A Cambial, 3ª ed. pág. 420). - Assim, bem se houve o Dr. Juiz em ordenar que se tomasse como matéria de defesa, afeta aos embargos do devedor, aquele defeito formal invocado pela parte. - Confirma-se, pois, a decisão agravada. Julgado em 19-04-1979 Arquivo do Ementário Forense, TA/238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cambial, constitui matéria de embargos a defesa do devedor, que alega a falsidade de sua própria assinatura.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2026-10-26T03:26:37.933Z</dcterms:created>
  <dcterms:modified xsi:type="dcterms:W3CDTF">2026-10-26T03:26:37.933Z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