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ESCRITURA DEFINITIVA</w:t>
      </w:r>
    </w:p>
    <w:p/>
    <w:p>
      <w:r>
        <w:rPr>
          <w:b/>
          <w:bCs/>
        </w:rPr>
        <w:t xml:space="preserve">Julgado em: </w:t>
      </w:r>
      <w:r>
        <w:t xml:space="preserve">18/04/1979</w:t>
      </w:r>
    </w:p>
    <w:p/>
    <w:p>
      <w:r>
        <w:t xml:space="preserve">MATÉRIA DE EMBARGOS DO DEVEDOR E NÃO DE INCIDENTE DE FALSIDADE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DO RELATÓRIO - ... A agravante não está conformada com o despacho, que, chamando à ordem o processo, determinou que se retificasse para embargos do devedor à execução de título extrajudicial, o qual antes fora autuado como incidente de falsidade. - Alega que o Agravado ofereceu bens à penhora, vindo pois a expressamente ingressar com a argüição de falsidade de suas assinaturas nos títulos em cobrança, no processo de execução intentado contra ele e outros. DO VOTO - ... Na ação cambial, é através de embargos que o executado deve argüir a falsidade de sua própria assinatura. - Esta a lição de PAULO DE LACERDA: "São defesas mais comuns pertencentes a esta classe" (trata-se do que o mestre classificava como "defeito da forma intrínseca do título cambial"): "- ...... b) a falsidade........ O réu pode, utilmente, alegar "erga omnes" a falsidade de sua própria firma..." (A Cambial, 3ª ed. pág. 420). - Assim, bem se houve o Dr. Juiz em ordenar que se tomasse como matéria de defesa, afeta aos embargos do devedor, aquele defeito formal invocado pela parte. - Confirma-se, pois, a decisão agravada. Julgado em 19-04-1979 Arquivo do Ementário Forense, TA/238 EMENTÁRIO FORENSE. Abril, 1980. Ano XXXII. Nº 377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 ação cambial, constitui matéria de embargos a defesa do devedor, que alega a falsidade de sua própria assinatura.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2026-09-11T00:28:34.622Z</dcterms:created>
  <dcterms:modified xsi:type="dcterms:W3CDTF">2026-09-11T00:28:34.622Z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