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04/12/1979</w:t>
      </w:r>
    </w:p>
    <w:p/>
    <w:p>
      <w:r>
        <w:t xml:space="preserve">DESTINO DIVERSO DADO AO IMÓVEL — CASO DE ACORDO - COBRANÇA DE MULTA - IMPROCEDÊNCIA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entender da maioria a decisão recorrida está a merecer correção. - "Ex vi" do art. 13 da Lei nº 4.494/64, desde que decretado o despejo com fulcro nas hipóteses previstas nos incisos III a V e VII a XI do art. 11 da lei sabredita, tem todo o cabimento a imposição ao locador em favor do locatário da multa até o máximo de 24 meses de aluguel, acrescida de honorários advocatícios de 20%, quando o mesmo locador não dá ao imóvel retomado, no prazo de sessenta dias, o destino prometido na ação de despejo. - Em face dos expressos termos do art. 13 da Lei nº 4.494/64, já referida, parece claro porém, que a multa preconizada só pode incidir se o despejo é decretado "verbis": "nos casos dos itens III a V e VII a XI do art. 11", da já citada lei, pelo que se a desocupação do imóvel, se opera, como no caso presente, por acordo (...) - celebrado nos termos do § 4º da Lei nº 4.494/64, (com a redação dada , pelo D.L. 890/69), não se vê como aplicar a multa; pois nesse caso a desocupação foi, afinal, voluntária e não coercitiva. - Pelas razões expostas, portanto, (...), a aplicação da multa não tem, afinal, cabimento, impondo-se, em consequência, a reforma do julgamento de primeiro grau, (...). Julgado em 05-12-1979 VENCIDO O JUIZ RUI OCTÁVIO DOMINGUES Arquivo do Ementário Forense, TA/233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Improcede a liquidação instaurada para aplicação ao locador da multa prevista no art. 13 da Lei 4.494/64, naqueles casos em que a desocupação do imóvel se efetiva em virtude de acordo e não de decreto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2026-09-10T22:18:39.685Z</dcterms:created>
  <dcterms:modified xsi:type="dcterms:W3CDTF">2026-09-10T22:18:39.685Z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