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04/12/1979</w:t>
      </w:r>
    </w:p>
    <w:p/>
    <w:p>
      <w:r>
        <w:t xml:space="preserve">DESTINO DIVERSO DADO AO IMÓVEL — CASO DE ACORDO - COBRANÇA DE MULTA - IMPROCEDÊNCIA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entender da maioria a decisão recorrida está a merecer correção. - "Ex vi" do art. 13 da Lei nº 4.494/64, desde que decretado o despejo com fulcro nas hipóteses previstas nos incisos III a V e VII a XI do art. 11 da lei sabredita, tem todo o cabimento a imposição ao locador em favor do locatário da multa até o máximo de 24 meses de aluguel, acrescida de honorários advocatícios de 20%, quando o mesmo locador não dá ao imóvel retomado, no prazo de sessenta dias, o destino prometido na ação de despejo. - Em face dos expressos termos do art. 13 da Lei nº 4.494/64, já referida, parece claro porém, que a multa preconizada só pode incidir se o despejo é decretado "verbis": "nos casos dos itens III a V e VII a XI do art. 11", da já citada lei, pelo que se a desocupação do imóvel, se opera, como no caso presente, por acordo (...) - celebrado nos termos do § 4º da Lei nº 4.494/64, (com a redação dada , pelo D.L. 890/69), não se vê como aplicar a multa; pois nesse caso a desocupação foi, afinal, voluntária e não coercitiva. - Pelas razões expostas, portanto, (...), a aplicação da multa não tem, afinal, cabimento, impondo-se, em consequência, a reforma do julgamento de primeiro grau, (...). Julgado em 05-12-1979 VENCIDO O JUIZ RUI OCTÁVIO DOMINGUES Arquivo do Ementário Forense, TA/233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Improcede a liquidação instaurada para aplicação ao locador da multa prevista no art. 13 da Lei 4.494/64, naqueles casos em que a desocupação do imóvel se efetiva em virtude de acordo e não de decreto 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2026-06-17T14:12:20.821Z</dcterms:created>
  <dcterms:modified xsi:type="dcterms:W3CDTF">2026-06-17T14:12:20.821Z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