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ESCRITURA DEFINITIVA</w:t>
      </w:r>
    </w:p>
    <w:p/>
    <w:p>
      <w:r>
        <w:rPr>
          <w:b/>
          <w:bCs/>
        </w:rPr>
        <w:t xml:space="preserve">Recurso: </w:t>
      </w:r>
      <w:r>
        <w:t xml:space="preserve">agravo de instrumento 18.188</w:t>
      </w:r>
    </w:p>
    <w:p>
      <w:r>
        <w:rPr>
          <w:b/>
          <w:bCs/>
        </w:rPr>
        <w:t xml:space="preserve">Julgado em: </w:t>
      </w:r>
      <w:r>
        <w:t xml:space="preserve">21/05/1979</w:t>
      </w:r>
    </w:p>
    <w:p/>
    <w:p>
      <w:r>
        <w:t xml:space="preserve">EXTINÇÃO DA HIPOTECA — SE OCORRE QUANDO A EXECUÇÃO NÃO É PROMOVIDA PELO CREDOR HIPOTECÁRIO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Equivoca-se, "data venia", o ilustre Dr. Juiz "a quo" ao sustentar que "o cancelamento da hipoteca implicaria em implícita afronta ao V. acórdão no agravo de instrumento nº 18.188" (...). - A uma, porque a decisão referida limitou-se a, cumprindo a lei (art. 759, do Código Civil), assegurar ao credor hipotecário o direito de receber o seu crédito, atualizado, à data do julgamento. - As duas, porque, sendo a hipoteca um direito real de garantia, a arrematação, prevista como uma das causas de sua extinção (art. 849, VII, do Código Civil), só produz tais efeitos quando a execução é promovida pelo credor hipotecário o que não ocorre no caso dos autos. - Esta é a opinião tranquila da doutrina, inclusive de CLÓVIS e, igualmente, o entendimento tranquilo da jurisprudência. - Por tais regras é que o agravo não pode ser provido, pois a hipoteca continua a gravar o imóvel, até que o credor seja satisfeito de seu crédito. Julgado em 22-05-1979 Arquivo do Ementário Forense, TA/235 EMENTÁRIO FORENSE. Abril, 1980. Ano XXXII. Nº 377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Entendimento do art. 849, VII, do Código Civil. - Somente no caso de execução promovida pelo credor hipotecário, a arrematação extingue a hipoteca.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2026-06-17T15:26:15.882Z</dcterms:created>
  <dcterms:modified xsi:type="dcterms:W3CDTF">2026-06-17T15:26:15.882Z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