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agravo de instrumento 18.188</w:t>
      </w:r>
    </w:p>
    <w:p>
      <w:r>
        <w:rPr>
          <w:b/>
          <w:bCs/>
        </w:rPr>
        <w:t xml:space="preserve">Julgado em: </w:t>
      </w:r>
      <w:r>
        <w:t xml:space="preserve">21/05/1979</w:t>
      </w:r>
    </w:p>
    <w:p/>
    <w:p>
      <w:r>
        <w:t xml:space="preserve">EXTINÇÃO DA HIPOTECA — SE OCORRE QUANDO A EXECUÇÃO NÃO É PROMOVIDA PELO CREDOR HIPOTECÁRIO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Equivoca-se, "data venia", o ilustre Dr. Juiz "a quo" ao sustentar que "o cancelamento da hipoteca implicaria em implícita afronta ao V. acórdão no agravo de instrumento nº 18.188" (...). - A uma, porque a decisão referida limitou-se a, cumprindo a lei (art. 759, do Código Civil), assegurar ao credor hipotecário o direito de receber o seu crédito, atualizado, à data do julgamento. - As duas, porque, sendo a hipoteca um direito real de garantia, a arrematação, prevista como uma das causas de sua extinção (art. 849, VII, do Código Civil), só produz tais efeitos quando a execução é promovida pelo credor hipotecário o que não ocorre no caso dos autos. - Esta é a opinião tranquila da doutrina, inclusive de CLÓVIS e, igualmente, o entendimento tranquilo da jurisprudência. - Por tais regras é que o agravo não pode ser provido, pois a hipoteca continua a gravar o imóvel, até que o credor seja satisfeito de seu crédito. Julgado em 22-05-1979 Arquivo do Ementário Forense, TA/235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Entendimento do art. 849, VII, do Código Civil. - Somente no caso de execução promovida pelo credor hipotecário, a arrematação extingue a hipoteca.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2026-10-26T04:39:36.733Z</dcterms:created>
  <dcterms:modified xsi:type="dcterms:W3CDTF">2026-10-26T04:39:36.733Z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