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26/08/1978</w:t>
      </w:r>
    </w:p>
    <w:p/>
    <w:p>
      <w:r>
        <w:t xml:space="preserve">IMPOSTO SOBRE TRANSPORTE RODOVIÁRIO — PRESTAÇÃO DE TRANSPORTE A TERCEIRO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ao mérito, não resta dúvida de que a norma legal impugnada visa a tributar uma obrigação do vendedor, qual seja a de entregar a mercadoria adquirida pelo comprador, isto é, a efetivação do contrato de compra e venda, que se torna perfeitamente acabado, com a tradição da coisa. - Também não resta dúvida de que a prestação dos serviços de transporte constitui o fato gerador do imposto, segundo os precisos termos do art. 68, inciso I, do C.T. N.; sendo, destarte, contribuinte do mesmo, o prestador de tais serviços, e base para o seu cálculo, o preço dos mesmos. Mas, na espécie dos autos, como se viu, cuida-se de transporte efetuado pelo próprio vendedor, em veículo próprio, no exercício de uma atividade própria, a entrega da mercadoria adquirida pelo comprador, não ocorrendo, desta sorte, o fato gerador do tributo. - Sou, assim, obrigado a confirmar a respeitável sentença recorrida, pelos seus próprios e jurídicos fundamentos, que são os seguintes: - ...................................................... - No mérito, verifica-se que o imposto de que se trata é da competência da União, consoante o art. 21, inciso VII da Constituição Federal. - A prestação do serviço do transporte constitui o fato gerador do ISTR, conforme o art. 68, item I, do Código Tributário Nacional. - O contribuinte do imposto é o "prestador de serviço" (Lei citada art. 70), a base do cálculo do imposto é o preço do serviço. - A norma constitucional e a lei complementar delimitaram o ca mpo de incidência do imposto. - O campo de incidência do imposto é vasto, mas há um requisito que merece especial referência: o fato gerador pressupõe a prestação de serviço de transporte a terceiros, como negócio ou profissão, isto é, como atividade remunerada. - Assim, não ocorre o fato gerador quando o transporte é feito pela pessoa física ou jurídica, para seu uso próprio e conveniência exclusiva. - Dessa forma, o § 3º, do Decreto-lei nº 1.438, de 26-12-75, ultrapassou os limites do Código Tributário Nacional e violou a norma constitucional pertinente. - Declaro, pois, a inconstitucionalidade da referida disposição legal, e, em consequência, concedo a segurança impetrada". - Com estas considerações, nego provimento à apelação. Julgado em 27-08-1978 Arquivo do Ementário Forense, TFR/18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Inconstitucionalidade do D.L. nº 1.438, de 26-12-75. (ISTR). - Aplicação do art. 68, inciso I, do Código Tributário Nacional. - No transporte rodoviário de carga própria, realizado em veículo próprio, para simples entrega, não ocorre fato gerador, por inexistir a prestação de serviço de transporte a terceiros, como negócio ou profissão, isto é, como atividade remunerada.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2026-09-10T23:36:45.234Z</dcterms:created>
  <dcterms:modified xsi:type="dcterms:W3CDTF">2026-09-10T23:36:45.234Z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