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31/08/1978</w:t>
      </w:r>
    </w:p>
    <w:p/>
    <w:p>
      <w:r>
        <w:t xml:space="preserve">CONSTITUIÇÃO DEFINITIVA DO CRÉDITO TRIBUTÁRIO — QUANDO OCORRE QUANDO HÁ IMPUGNAÇÃO DO LANÇAMENTO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Assentou o acórdão que a constituição definitiva do crédito tributário se verifica pelo lançamento, não pela inscrição. Assiste-lhe razão parcial, pois, em verdade, não é com a inscrição, mas com o lançamento que o crédito se constitui definitivamente. Não basta, entretanto, o lançamento pois, sendo ele suscetível de impugnação por parte do sujeito passivo, tal como se depreende do item I, do artigo 145, do CTN, não é definitivo o crédito antes de julgada legal. Deixando isso de lado, firmou o aresto impugnado, em termos largos, o princípio de que o lançamento como tal opera a constituição definitiva do crédito tributário. Adotando essa regra, nas condições em que o fez, isto é, com abstração dos efeitos da impugnabilidade do lançamento, o acórdão aplicou o artigo 174 do C.T.N., onde se dispõe quanto ao início do prazo prescricional, de modo a negar-lhe vigência. - Diante disso, conheço do recurso, e julgando a causa, lhe dou provimento, pelas razões deduzidas no parecer da Procuradoria-Geral da República, para que o Colendo Tribunal "a quo", afastada a prescrição, julgue a causa como for de direito. Julgado em 01-09-1978 Arquivo do Ementário Forense, STF/1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definitiva do crédito não se dá com a inscrição, mas com o lançamento. - Não basta, entretanto, o lançamento, pois sendo ela suscetível de impugnação pelo sujeito passivo, o crédito, a que o lançamento se refere, não é definitivo antes de julgada a impugnação, se esta tiver sido oferecida no prazo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2026-07-28T00:02:45.328Z</dcterms:created>
  <dcterms:modified xsi:type="dcterms:W3CDTF">2026-07-28T00:02:45.328Z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