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RECONHECIMENTO DE FIRMA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Julgado em: </w:t>
      </w:r>
      <w:r>
        <w:t xml:space="preserve">20/12/1978</w:t>
      </w:r>
    </w:p>
    <w:p/>
    <w:p>
      <w:r>
        <w:t xml:space="preserve">PEDIDO EM SEU BENEFÍCIO — SE É LEGÍTIMO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Sendo a remissão direito personalíssimo, com fundamento em "pietatis causa", só pode ser deferida nas condições expressamente mencionadas em lei as pessoas, às quais a lei reconhece o direito de remir os bens objetos de penhora (art. 787, do Código de Processo Civil). E ali não está relacionado qualquer parente ou esposa de sócio de firma social, comercial ou industrial, pelo que, como bem acentuou a decisão agravada, sendo a executada pessoa jurídica, admissível não podia ser considerado o pedido de remissão. - Esse o ensinamento dos mais autorizados intérpretes da nossa Lei Processual Civil, já abonado pela jurisprudência, conforme se pode ver do aresto do Tribunal de Alçada de São Paulo, segundo o qual "não há motivo para se alargar o âmbito do benefício da remissão concedido "pietatis causa" à esposa do executado e concedê-lo também à esposa de sócio de sociedade devedora (MILTON E. SANTOS, "Código de Processo Civil nos Tribunais de Alçada de São Paulo", II, 839). - Porque o direito à remissão é personalíssimo e só pode ser concedido às pessoas expressamente mencionadas no texto legal, impõe-se o reconhecimento de que a decisão que indeferiu o pedido apenas cumpriu a lei e nenhum gravame causou à agravante, não podendo ser, por isso mesmo, passível de censura ou reforma. - Negando provimento. Julgado em 21-12-1978 VOTO VENCIDO DO DESEMBARGADOR GOUTHIER DE VILHENA - "Não obstante a opinião de HUMBERTO THEODORO, apoiado em MOACYR AMARAL DOS SANTOS, de que é impossível atender-se o pedido de remissão formulado pelo sócio, no caso de execução contra a pessoa jurídica, pelo seu caráter nitidamente familiar, "de que não participa, porém, o devedor em pessoa" ("Proc. de Execução", cap. XXVI, nº 1, "Primeiras Linhas de Dir. Proc. Civil, III, 887), entendo que ele pode remir, "desde que a execução recaia sobre bens sociais" (JOSÉ DA SILVA PACHECO, "Proc. de Execução", vol. 2º/535, ed. de 1975 e "Dir. Proc. Civil", Vol. 2º/nº 1.573, ed. de 1976; J. FREDERIDO MARQUES, "Man. de Dir. Proc. Civil", 4º vol., nº 990). - Se tem legitimação para isso, penso que ela se estende para alcançar seu cônjuge dado o "caráter nitidamente familiar" da remissão. - Ante o exposto, provejo o agravo. Jurisprudência Mineira. Janeiro a Março, 1979 - Vol. 73 - Pág. 47 EMENTÁRIO FORENSE. Maio, 1980. Ano XXXII. Nº 378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a remissão direito personalíssimo, com fundamento em "pietatis causa", não há como admiti-la em benefício de parente ou esposa de sócio de firma social, comercial ou industrial; mas tão-somente às pessoas expressamente mencionadas pela lei.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2026-10-26T04:17:36.360Z</dcterms:created>
  <dcterms:modified xsi:type="dcterms:W3CDTF">2026-10-26T04:17:36.360Z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