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ACIDENTE EM VIA PÚBLICA</w:t>
      </w:r>
    </w:p>
    <w:p/>
    <w:p>
      <w:r>
        <w:rPr>
          <w:b/>
          <w:bCs/>
        </w:rPr>
        <w:t xml:space="preserve">Recurso: </w:t>
      </w:r>
      <w:r>
        <w:t xml:space="preserve">APELAÇÃO CÍVEL 000.230.445-9/00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>
      <w:r>
        <w:rPr>
          <w:b/>
          <w:bCs/>
        </w:rPr>
        <w:t xml:space="preserve">Julgado em: </w:t>
      </w:r>
      <w:r>
        <w:t xml:space="preserve">10/04/2000</w:t>
      </w:r>
    </w:p>
    <w:p/>
    <w:p>
      <w:r>
        <w:t xml:space="preserve">RESPONSABILIDADE CIVIL DO MUNICÍPIO — TRANSPORTE ESCOLAR - ÔNIBUS PERTENCENTE À MUNICIPALIDADE - ACIDENTE - DANOS ESTÉTICOS E MORAIS - INDENIZAÇÃO - FIXAÇÃO EM SALÁRIOS MÍNIMOS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REMESSA NECESSÁRIA - AÇÃO DE INDENIZAÇÃO - ACIDENTE DE VEÍCULOS - ÔNIBUS PERTENCENTE AO MUNICÍPIO - CULPA OBJETIVA - CONSTITUIÇÃO FEDERAL, ARTIGO 37, § 6º - CONDENAÇÃO EM SALÁRIOS- MÍNIMOS - REFORMA PARCIAL - A fixação dos valores devidos a título de indenização, por danos morais e estéticos, pode ser fixada em salários- mínimos, desde que aqueles vigentes na data do ato ilícito, que deverão ser corrigidos monetariamente até a data do efetivo pagamento. APELAÇÃO CÍVEL Nº 000.230.445-9/00 - COMARCA DE MANHUAÇU - APELANTE(S): JD 2 V CV COMARCA MANHUAÇU, PELO MUNICÍPIO MANHUAÇU - APELADO(S): IZABEL CRISTINA FILGUEIRAS, REPDA P/ MÃE MARIA ROSÁRIO DE ALBUQUERQUE - RELATOR: EXMO. SR. DES. JOSÉ DOMINGUES FERREIRA ESTEVES Vistos etc., acorda, em Turma, a SEXTA CÂMARA CÍVEL do Tribunal de Justiça do Estado de Minas Gerais, incorporando neste o relatório de fls., na conformidade da ata dos julgamentos e das notas taquigráficas, à unanimidade de votos, EM REFORMAR A SENTENÇA PARCIALMENTE, EM REEXAME NECESSÁRIO, NOS TERMOS DOS VOTOS PROFERIDOS. Belo Horizonte, 30 de novembro de 2001. DES. JOSÉ DOMINGUES FERREIRA ESTEVES - Relator NOTAS TAQUIGRÁFICAS O SR. DES. JOSÉ DOMINGUES FERREIRA ESTEVES: VOTO Cuida-se de Ação Indenizatória promovida por Izabel Cristina Filgueiras, representada por sua mãe, Maria Rosário de Albuquerque, em face do Município de Manhuaçu, cuja inicial veio a ser julgada procedente, com a condenação da Municipalidade, nos termos do § 6º, do art. 37, da Carta Magna, a indenizar a Autora, em danos morais sofridos, fixados em 100 (cem) salários-mínimos, e a título de dano estético, outros 100 (cem) salários-mínimos, perfazendo a condenação em 200 (duzentos) salários-mínimos vigentes à época do efetivo pagamento, "que deverão ser quitados em parcela única após o trânsito em julgado" da decisão, acrescidos dos juros moratórios de 0,5% (meio por cento) ao mês, contados da data do ilícito. A Munici palidade foi ainda condenada ao pagamento das custas processuais, despesas periciais e honorários advocatícios, estes arbitrados em 20% (vinte por cento) da verba indenizatória. Não foram apresentados recursos voluntários. A Douta Procuradoria-Geral de Justiça manifestou- se às f. 111/116-TJ, pela reforma parcial da sentença, para decotar da condenação a obrigação de indenização à Autora pelos danos estéticos, por não ter sido provada a deformidade permanente e irreparável, e ainda, para que os honorários advocatícios sejam fixados de conformidade com o art. 20, § 4º, do CPC. Conheço da remessa necessária. O pedido indenizatório vem fundado no fato de ter a Autora sofrido lesões, em acidente ocorrido com um ônibus da Prefeitura Municipal de Manhuaçu, durante transporte escolar, que lhe deixou cicatriz antiestética que, por sua vez, ocasionou sofrimento emocional e necessidade de intervenção cirúrgica estética, com a finalidade de devolver à Autora sua aparência física anterior. Trata-se de responsabilidade objetiva do Poder Público Municipal, determinada pelo art. 37, § 6º, da Constituição Federal. Não bastasse a culpa objetiva, também a subjetiva restou demonstrada, através do Laudo nº 655/98, acostado às f. 42/49- TJ, notadamente pela conclusão dos peritos, lançada às f. 46. Não obstante ser considerado o dano estético como parte integrante do dano moral, no caso em estudo, entretanto, a distinção há de ser feita. É que a verba indenizatória destinada ao ressarcimento do dano estético tem o objetivo expresso de custear as despesas com procedimento cirúrgico necessário à reparação da aparência da Autora, através de cirurgia plástica. Enquanto que o valor destinado à indenização por dano moral tem a finalidade de minimizar o sofrimento da vítima, em decorrência do ato ilícito. Por isso que, com a devida vênia, deixo de acolher, nessa parte, o parecer do Dr. Procurador de Justiça. Os valores fixados apresentam-se razoáveis, em face dos gastos necessários aos procedimentos médicos, a que deverá se submeter a Autora. No entanto, tenho que o salário-mínimo a ser observado deverá ser aquele vigente na data do acidente, corrigindo- se monetariamente, através dos índices fornecidos pela Corregedoria- Geral de Justiça de Minas Gerais, até a data do efetivo pagamento. Tal entendimento é decorrente da proibição constitucional estabelecida pelo inciso IV, do art. 7º, como se vê do julgamento do STF, RE nº 225.488, que teve como Relator o Ministro Moreira Alves, julgado em 11/04/2000. "EMENTA: - Dano moral. Fixação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2026-07-28T04:15:42.772Z</dcterms:created>
  <dcterms:modified xsi:type="dcterms:W3CDTF">2026-07-28T04:15:42.772Z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