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RECURSO ADMINISTRATIVO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22/03/1979</w:t>
      </w:r>
    </w:p>
    <w:p/>
    <w:p>
      <w:r>
        <w:t xml:space="preserve">PODER EXPROPRIANTE TITULAR DO DOMÍNIO DIRETO — DESCONTO DO VALOR DESTE - SE ESTÁ A TAL AUTORIZADO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controvérsia que ensejou o presente incidente, suscitado contra o voto do relator do presente..., gira em torno da questão de saber-se se é lícito ao expropriante de terreno foreiro a ele próprio descontar do preço expropriatório que oferece pelo que desapropria, uma parte que corresponderia ao domínio direito que já lhe pertence. - Também se coloca, por vezes, a controvérsia em termos da questão de ser, ou não, devido laudêmio ao expropriante, nas vendas forçadas, a ele próprio, por via de desapropriação, do domínio útil de imóveis que lhe são foreiros, tal como ocorreu no fato julgado pelo acórdão... . - A maioria, na apreciação do presente incidente, inclinou-se, embora sem condições de estabelecer súmula, na forma do art. 497 do Código Processo Civil, pela tese de que não é razoável partir da presunção de que, nas desapropriações de imóveis foreiros, o decreto respectivo pleno, que já é do expropriante, e não apenas ao domínio útil, de que um terceiro é o titular e que é o único que pode, e que precisa, ser desapropriado, para o efeito de estabelecer uma segunda presunção no sentido de que a avaliação abrange os dois domínios, devendo, portanto, ser deduzido do valor fixado pelo perito e a ser paga ao expropriado, a parcela correspondente ao domínio direto, expressa pelo valor de um laudêmio e de tantos foros, tal como ocorreria se se tratasse de remição, ou resgate, do fôro. - A controvérsia que a respeito do assunto se estabeleceu envolve também, como se evidencia nos diversos acórdãos discrepantes entre si, tanto nas conclusões, quanto nas razões em que assentam, o verdadeiro fundamento da tese segundo a qual seria suscetível de dedução, n as desapropriações de imóveis foreiros ao expropriante, em qualquer caso, o valor do domínio direto. - Toda essa fundamentação apresenta-se indisfarçadamente artificiosa. - Não se trata de resgate de fôro, mas utiliza-se o critério do resgate. Vai-se buscar apoio no Decreto 4.856, de 1903, cujo artigo 33 estabelece como calcular-se o valor do domínio direto, sem atentar-se para o fato de que este pode também ser desapropriado, quando pertencente a pessoa de direito público, outra, que não a expropriante ou de direito privado. E sem se levar em conta que ali fixaram os critérios de cálculo de valores para os domínios do senhorio, do enfiteuta e do sub-enfiteuta, mas não se diz que o do primeiro deva ser necessariamente deduzido dos demais, quando se desapropria o que não pertence ao expropriante. - Também se invoca o artigo 31 da lei de desapropriações, que declara subrogados no preço expropriatório quaisquer ônus ou direitos que recaiam sobre o bem expropriado, quando, em verdade, afigura-se excessivo qualificar como ônus ou direito sobre o bem expropriado o domínio direito que, sendo do expropriante, não precisa ser expropriado. - Também se invoca, finalmente, a Lei Federal 9.760 de 1946, que dispõe exclusivamente sobre bens imóveis da União, e que, no § 3º do artigo 103, que não trata de desapropriação, mas, tão só, de extinção de aforamento por inadimplemento de cláusula contratual, ou por acordo, ou pela remissão, e estabelece que, na consolidação pela União, do domínio pleno que haja concedido por aforamento, deduzir-se-á do valor do mesmo domínio (do domínio pleno) a importância de 20 foros de um laudêmio. Mas essa lei só se aplica a bens da União, não regulando, como acentuado, a desapropriação. E, se manda deduzir o laudêmio e os foros do valor do domínio pleno, é pela razão evidente de que, na consolidação, só o valor do domínio útil é que será atribuído e, portanto, só por este, e não também sobre o direito que já lhe pertence, é que terá de pagar. - Como se vê, nenhuma dessas normas é especificamente aplicável às desapropriações de bens do Estado; e não se há de partir da presunção de que o Estado possa ou deva desapropriar o que já é seu, o que não parece ter qualquer sentido. Logo, não é possível presumir que a avaliação do bem expropriado recai sobre o domínio pleno, num feito em que, presumivelmente, só o que não pertence ao expropriante é que deve ser avaliado. De qualquer forma, a dúvida a respeito deve ser dirimida no momento da avaliação e não depois que, com base nesta, foi fixado o valor da indenização correspondente ao direito que o expropriado vai perder, consistente, exclusivamente, no domínio útil. - Repugna, realmente, ao bom senso, especialmente no momento atual, em que se deve estimar o mais aproximado e justamente possível o valor do bem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de presumir-se que o laudo de avaliação na desapropriação de imóveis foreiros ao expropriante, sem expressa referência a respeito, abranja o domínio direto, para o efeito de autorizar o desconto do valor deste do preço ofertado.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2026-07-28T00:39:15.226Z</dcterms:created>
  <dcterms:modified xsi:type="dcterms:W3CDTF">2026-07-28T00:39:15.226Z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