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/>
    <w:p>
      <w:r>
        <w:t xml:space="preserve">QUANDO NÃO CORRE CONTRA A MASSA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23 e 26 da Lei de Falências. - Não correm juros contra a massa falida se o ativo não bastar para o pagamento do principal e, não podem ser reclamadas na falência as penas pecuniárias por infração das leis penais; inocorrendo, ainda, na condenação, juros moratórios e correção monetário. (Ementa modificada pelo EMENTÁRIO FORENSE) V. o st. MULTA FISCAL EMENTÁRIO FORENSE. Janeiro, 1980. Ano XXXII. Nº 374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2026-07-28T00:25:16.291Z</dcterms:created>
  <dcterms:modified xsi:type="dcterms:W3CDTF">2026-07-28T00:25:16.291Z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