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10/11/1977</w:t>
      </w:r>
    </w:p>
    <w:p/>
    <w:p>
      <w:r>
        <w:t xml:space="preserve">DETERMINAÇÃO PARA MINISTRAR AULAS DE DISCIPLINA AFIM — SE CONTRARIA A GARANTIA DE VITALICIEDADE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Supremo Tribunal Federal firmou-se no sentido de que o professor vitalício pode ser aproveitado em cargo equivalente de disciplinas afins, porquanto característico da vitaliciedade é excluir a demissão sem sentença, judiciária, não obstando, entretanto, essa garantia, seja incumbido ao professor, nela investido, de ministrar aulas em disciplinas afins, para preenchimento do horário mínimo a que esteja obrigado. Nesse sentido no RR.EE. 78.049 (RTJ 72/879), 78.977 (RTJ 72/238), 78.668 (Ement. STF 1.027-2), 79.612 (Ement. STF 983-2) e 85.757 (DJU 29-04-77). Destarte, tendo o acórdão recorrido concluído não ser a disciplina em que é vitalícia a recorrida afim com aquela que o Estado quer seja por ela regida, harmoniza-se o julgado com a jurisprudência deste Tribunal. - Não conheço, pois, do recurso. Julgado em 11-11-1977 Revista Trimestral de Jurisprudência. Agosto, 1978 - Vol. 85 - Pág. 705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determinação de professor secundário ministrar aulas de disciplina afim não encontra obstáculo na garantia constitucional da vitaliciedade.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2026-07-28T00:27:24.504Z</dcterms:created>
  <dcterms:modified xsi:type="dcterms:W3CDTF">2026-07-28T00:27:24.504Z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