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10/11/1977</w:t>
      </w:r>
    </w:p>
    <w:p/>
    <w:p>
      <w:r>
        <w:t xml:space="preserve">DETERMINAÇÃO PARA MINISTRAR AULAS DE DISCIPLINA AFIM — SE CONTRARIA A GARANTIA DE VITALICIEDADE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Supremo Tribunal Federal firmou-se no sentido de que o professor vitalício pode ser aproveitado em cargo equivalente de disciplinas afins, porquanto característico da vitaliciedade é excluir a demissão sem sentença, judiciária, não obstando, entretanto, essa garantia, seja incumbido ao professor, nela investido, de ministrar aulas em disciplinas afins, para preenchimento do horário mínimo a que esteja obrigado. Nesse sentido no RR.EE. 78.049 (RTJ 72/879), 78.977 (RTJ 72/238), 78.668 (Ement. STF 1.027-2), 79.612 (Ement. STF 983-2) e 85.757 (DJU 29-04-77). Destarte, tendo o acórdão recorrido concluído não ser a disciplina em que é vitalícia a recorrida afim com aquela que o Estado quer seja por ela regida, harmoniza-se o julgado com a jurisprudência deste Tribunal. - Não conheço, pois, do recurso. Julgado em 11-11-1977 Revista Trimestral de Jurisprudência. Agosto, 1978 - Vol. 85 - Pág. 705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determinação de professor secundário ministrar aulas de disciplina afim não encontra obstáculo na garantia constitucional da vitaliciedade.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2026-10-26T06:08:56.994Z</dcterms:created>
  <dcterms:modified xsi:type="dcterms:W3CDTF">2026-10-26T06:08:56.994Z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