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MERCADO DE VALORES MOBILIÁRIOS</w:t>
      </w:r>
    </w:p>
    <w:p>
      <w:r>
        <w:rPr>
          <w:i/>
          <w:iCs/>
          <w:color w:val="666666"/>
        </w:rPr>
        <w:t xml:space="preserve">MP 2.031-33 DE 27-07-2000</w:t>
      </w:r>
    </w:p>
    <w:p/>
    <w:p>
      <w:r>
        <w:rPr>
          <w:b/>
          <w:bCs/>
        </w:rPr>
        <w:t xml:space="preserve">Tribunal: </w:t>
      </w:r>
      <w:r>
        <w:t xml:space="preserve">STF</w:t>
      </w:r>
    </w:p>
    <w:p>
      <w:r>
        <w:rPr>
          <w:b/>
          <w:bCs/>
        </w:rPr>
        <w:t xml:space="preserve">Julgado em: </w:t>
      </w:r>
      <w:r>
        <w:t xml:space="preserve">27/03/1985</w:t>
      </w:r>
    </w:p>
    <w:p/>
    <w:p>
      <w:r>
        <w:t xml:space="preserve">SEU CARÁTER PESSOAL — FORO DE ELEIÇÃO - ADMISSIBILIDADE DA PRORROGAÇÃO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... Não é esta a oportunidade para a discussão sobre a viabilidade ou a inviabilidade da adjudicação compulsória, estribada em promessa de dação em pagamento, pois matéria dessa ordem se insere no mérito do pedido reconvencional. - Também não se pode perquirir da impossibilidade da admissão da reconvenção, para tê-la por inócua para os efeitos do exame de competência, pois o agravo não fere problema dessa ordem. - Mas nem a ação nem a reconvenção têm natureza real, ou apresentam caráter imobiliário. - É de ORLANDO GOMES a observação de que "os contratos de efeitos reais não se confundem com os contratos reais, assim denominados porque somente se tornam perfeitos e acabados com a entrega da coisa, enquanto aqueles, são contratos consensuais, e se caracterizam pela transferência simplesmente consensual do domínio e dos outros direitos reais, bastando pois, para obtê-la, o consentimento das partes" (Contratos, 3ª ed., p. 170). - Como bem lembrou a douta Procuradoria-Geral de Justiça, este E. Tribunal já acentuou em r. precedente jurisprudencial que "tratando-se de ação de caráter nitidamente pessoal, não obstante nela se contenha a restituição do imóvel, objeto do ato, com as consequências indenizatórias, a competência para processar e julgar a ação de nulidade de ato jurídico por vício de consentimento é a disposta no art. 94 do CPC. O art. 95 do mesmo Código cuida das ações de natureza real - nas quais se não insere as de nulidade de contrato, mas as que visam ao "ius in re", ou seja, ao próprio imóvel, a proteção da propriedade imobiliária" (RT 574/109). - E o colendo STF já deixou assentado que "é razoável a interpretação que con sidera pessoal a ação de nulidade de decretação de contrato de dação de imóvel em pagamento" (RTJ 84/707). Julgado em 28-03-1985 Revista dos Tribunais. Julho, 1985 - Vol. 597 - Pág. 46 EMFOR 449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Ação de anulação de negócio jurídico por vício de consentimento é de caráter pessoal e a competência para seu julgamento é a disposta no art. 94 do Código de Processo Civil, admitindo-se a prorrogação da competência do foro de eleição.</w:t>
      </w:r>
    </w:p>
    <w:p/>
    <w:p>
      <w:pPr>
        <w:pStyle w:val="Heading3"/>
      </w:pPr>
      <w:r>
        <w:rPr>
          <w:i/>
          <w:iCs/>
        </w:rPr>
        <w:t xml:space="preserve">Nota da redação</w:t>
      </w:r>
    </w:p>
    <w:p>
      <w:r>
        <w:rPr>
          <w:i/>
          <w:iCs/>
          <w:color w:val="666666"/>
        </w:rPr>
        <w:t xml:space="preserve">RT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2026-09-11T00:08:26.534Z</dcterms:created>
  <dcterms:modified xsi:type="dcterms:W3CDTF">2026-09-11T00:08:26.534Z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